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43" w:rsidRDefault="00E16B43" w:rsidP="00E16B43">
      <w:pPr>
        <w:jc w:val="right"/>
        <w:rPr>
          <w:b/>
          <w:sz w:val="24"/>
          <w:szCs w:val="20"/>
        </w:rPr>
      </w:pPr>
      <w:r>
        <w:rPr>
          <w:b/>
          <w:sz w:val="24"/>
          <w:szCs w:val="20"/>
        </w:rPr>
        <w:t>Додаток 1</w:t>
      </w:r>
    </w:p>
    <w:p w:rsidR="00E16B43" w:rsidRDefault="00E16B43" w:rsidP="00E16B43">
      <w:pPr>
        <w:jc w:val="right"/>
        <w:rPr>
          <w:b/>
          <w:sz w:val="24"/>
          <w:szCs w:val="20"/>
        </w:rPr>
      </w:pPr>
      <w:r>
        <w:rPr>
          <w:b/>
          <w:sz w:val="24"/>
          <w:szCs w:val="20"/>
        </w:rPr>
        <w:t xml:space="preserve">до листа управління освіти </w:t>
      </w:r>
    </w:p>
    <w:p w:rsidR="00E16B43" w:rsidRDefault="00E16B43" w:rsidP="00E16B43">
      <w:pPr>
        <w:jc w:val="right"/>
        <w:rPr>
          <w:b/>
          <w:sz w:val="24"/>
          <w:szCs w:val="20"/>
        </w:rPr>
      </w:pPr>
      <w:r>
        <w:rPr>
          <w:b/>
          <w:sz w:val="24"/>
          <w:szCs w:val="20"/>
        </w:rPr>
        <w:t xml:space="preserve">від 21.02.2022 № 01-31/503      </w:t>
      </w:r>
    </w:p>
    <w:p w:rsidR="00E16B43" w:rsidRDefault="00E16B43" w:rsidP="00E16B43">
      <w:pPr>
        <w:rPr>
          <w:b/>
          <w:sz w:val="24"/>
          <w:szCs w:val="20"/>
        </w:rPr>
      </w:pPr>
    </w:p>
    <w:p w:rsidR="00E16B43" w:rsidRDefault="00E16B43" w:rsidP="00E16B43">
      <w:pPr>
        <w:rPr>
          <w:b/>
          <w:sz w:val="24"/>
          <w:szCs w:val="20"/>
        </w:rPr>
      </w:pPr>
      <w:r>
        <w:rPr>
          <w:b/>
          <w:sz w:val="24"/>
          <w:szCs w:val="20"/>
        </w:rPr>
        <w:t xml:space="preserve">П.І.П. заступника керівника/заступників керівників:  </w:t>
      </w:r>
    </w:p>
    <w:p w:rsidR="00E16B43" w:rsidRDefault="00E16B43" w:rsidP="00E16B43">
      <w:pPr>
        <w:rPr>
          <w:b/>
          <w:sz w:val="24"/>
          <w:szCs w:val="20"/>
        </w:rPr>
      </w:pPr>
      <w:r>
        <w:rPr>
          <w:b/>
          <w:sz w:val="24"/>
          <w:szCs w:val="20"/>
        </w:rPr>
        <w:t>Назва закладу освіти:</w:t>
      </w:r>
    </w:p>
    <w:p w:rsidR="00E16B43" w:rsidRDefault="00E16B43" w:rsidP="00E16B43">
      <w:pPr>
        <w:rPr>
          <w:b/>
          <w:sz w:val="24"/>
          <w:szCs w:val="20"/>
        </w:rPr>
      </w:pPr>
    </w:p>
    <w:tbl>
      <w:tblPr>
        <w:tblpPr w:leftFromText="180" w:rightFromText="180" w:bottomFromText="160" w:vertAnchor="page" w:horzAnchor="margin" w:tblpXSpec="center" w:tblpY="2911"/>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590"/>
        <w:gridCol w:w="8935"/>
        <w:gridCol w:w="851"/>
      </w:tblGrid>
      <w:tr w:rsidR="00E16B43" w:rsidTr="00E16B43">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rFonts w:eastAsia="Lucida Sans Unicode"/>
                <w:b/>
                <w:kern w:val="2"/>
              </w:rPr>
              <w:t xml:space="preserve">ПЕРЕЛІК ПИТАНЬ </w:t>
            </w:r>
          </w:p>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для здійснення самооцінювання/вивчення професійної діяльності</w:t>
            </w:r>
          </w:p>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заступників керівників (з навчальної/виховної роботи) закладів освіти</w:t>
            </w:r>
          </w:p>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Чернівецької міської територіальної громади</w:t>
            </w:r>
          </w:p>
          <w:p w:rsidR="00E16B43" w:rsidRDefault="00E16B43">
            <w:pPr>
              <w:widowControl w:val="0"/>
              <w:suppressAutoHyphens/>
              <w:autoSpaceDE w:val="0"/>
              <w:autoSpaceDN w:val="0"/>
              <w:adjustRightInd w:val="0"/>
              <w:spacing w:line="256" w:lineRule="auto"/>
              <w:jc w:val="center"/>
              <w:rPr>
                <w:rFonts w:eastAsia="Lucida Sans Unicode"/>
                <w:b/>
                <w:kern w:val="2"/>
              </w:rPr>
            </w:pPr>
            <w:r>
              <w:rPr>
                <w:rFonts w:eastAsia="Lucida Sans Unicode"/>
                <w:b/>
                <w:color w:val="212529"/>
                <w:kern w:val="2"/>
              </w:rPr>
              <w:t>у 2021/2022 навчальному році</w:t>
            </w:r>
          </w:p>
        </w:tc>
      </w:tr>
      <w:tr w:rsidR="00E16B43" w:rsidTr="00E16B43">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Напрям оцінювання</w:t>
            </w:r>
          </w:p>
        </w:tc>
      </w:tr>
      <w:tr w:rsidR="00E16B43" w:rsidTr="00E16B43">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16"/>
                <w:szCs w:val="16"/>
              </w:rPr>
            </w:pPr>
            <w:r>
              <w:rPr>
                <w:rFonts w:eastAsia="Lucida Sans Unicode"/>
                <w:b/>
                <w:color w:val="212529"/>
                <w:kern w:val="2"/>
                <w:sz w:val="16"/>
                <w:szCs w:val="16"/>
              </w:rPr>
              <w:t>№ з/п</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sz w:val="24"/>
                <w:szCs w:val="24"/>
              </w:rPr>
            </w:pPr>
            <w:r>
              <w:rPr>
                <w:rFonts w:eastAsia="Lucida Sans Unicode"/>
                <w:b/>
                <w:kern w:val="2"/>
                <w:sz w:val="24"/>
                <w:szCs w:val="24"/>
              </w:rPr>
              <w:t>Критерії оцінювання</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18"/>
                <w:szCs w:val="18"/>
              </w:rPr>
            </w:pPr>
            <w:r>
              <w:rPr>
                <w:rFonts w:eastAsia="Lucida Sans Unicode"/>
                <w:b/>
                <w:kern w:val="2"/>
                <w:sz w:val="24"/>
                <w:szCs w:val="24"/>
              </w:rPr>
              <w:t>Індикатори оцінювання</w:t>
            </w:r>
          </w:p>
        </w:tc>
        <w:tc>
          <w:tcPr>
            <w:tcW w:w="85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18"/>
                <w:szCs w:val="18"/>
              </w:rPr>
            </w:pPr>
            <w:r>
              <w:rPr>
                <w:rFonts w:eastAsia="Lucida Sans Unicode"/>
                <w:b/>
                <w:color w:val="212529"/>
                <w:kern w:val="2"/>
                <w:sz w:val="18"/>
                <w:szCs w:val="18"/>
              </w:rPr>
              <w:t>Рівень</w:t>
            </w:r>
          </w:p>
        </w:tc>
      </w:tr>
      <w:tr w:rsidR="00E16B43" w:rsidTr="00E16B43">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Виконання програми розвитку навчального закладу та результати інноваційної діяльності</w:t>
            </w:r>
          </w:p>
        </w:tc>
      </w:tr>
      <w:tr w:rsidR="00E16B43" w:rsidTr="00E16B43">
        <w:trPr>
          <w:trHeight w:val="848"/>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kern w:val="2"/>
                <w:sz w:val="24"/>
                <w:szCs w:val="24"/>
              </w:rPr>
              <w:t>Складання</w:t>
            </w:r>
          </w:p>
          <w:p w:rsidR="00E16B43" w:rsidRDefault="00E16B43">
            <w:pPr>
              <w:widowControl w:val="0"/>
              <w:suppressAutoHyphens/>
              <w:autoSpaceDE w:val="0"/>
              <w:autoSpaceDN w:val="0"/>
              <w:adjustRightInd w:val="0"/>
              <w:spacing w:line="256" w:lineRule="auto"/>
              <w:jc w:val="center"/>
              <w:rPr>
                <w:rFonts w:eastAsia="Lucida Sans Unicode"/>
                <w:b/>
                <w:kern w:val="2"/>
                <w:sz w:val="24"/>
                <w:szCs w:val="24"/>
              </w:rPr>
            </w:pPr>
            <w:r>
              <w:rPr>
                <w:b/>
                <w:kern w:val="2"/>
                <w:sz w:val="24"/>
                <w:szCs w:val="24"/>
              </w:rPr>
              <w:t>річного плану роботи закладу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kern w:val="2"/>
              </w:rPr>
            </w:pPr>
            <w:r>
              <w:rPr>
                <w:kern w:val="2"/>
                <w:sz w:val="24"/>
                <w:szCs w:val="24"/>
              </w:rPr>
              <w:t xml:space="preserve">Забезпечення реалізації стратегії розвитку. Врахування освітньої програми, результатів самооцінювання. Залучення  до розроблення річного плану роботи учасників освітнього процесу.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tabs>
                <w:tab w:val="left" w:pos="2524"/>
              </w:tabs>
              <w:suppressAutoHyphens/>
              <w:spacing w:line="256" w:lineRule="auto"/>
              <w:jc w:val="center"/>
              <w:rPr>
                <w:b/>
                <w:kern w:val="2"/>
                <w:sz w:val="24"/>
                <w:szCs w:val="24"/>
              </w:rPr>
            </w:pPr>
          </w:p>
        </w:tc>
      </w:tr>
      <w:tr w:rsidR="00E16B43" w:rsidTr="00E16B43">
        <w:trPr>
          <w:trHeight w:val="61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jc w:val="center"/>
              <w:rPr>
                <w:b/>
                <w:kern w:val="2"/>
                <w:sz w:val="24"/>
                <w:szCs w:val="24"/>
              </w:rPr>
            </w:pPr>
            <w:r>
              <w:rPr>
                <w:b/>
                <w:kern w:val="2"/>
                <w:sz w:val="24"/>
                <w:szCs w:val="24"/>
              </w:rPr>
              <w:t>Розроблення освітньої програми закладу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rPr>
                <w:b/>
                <w:kern w:val="2"/>
                <w:sz w:val="24"/>
                <w:szCs w:val="24"/>
              </w:rPr>
            </w:pPr>
            <w:r>
              <w:rPr>
                <w:kern w:val="2"/>
                <w:sz w:val="24"/>
                <w:szCs w:val="24"/>
              </w:rPr>
              <w:t>Затвердження, схвалення та оприлюднення на офіційному сайті. Забезпечення відповідності змісту освітньої програми ст.32 Закону України Про освіту.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tabs>
                <w:tab w:val="left" w:pos="2524"/>
              </w:tabs>
              <w:suppressAutoHyphens/>
              <w:spacing w:line="256" w:lineRule="auto"/>
              <w:jc w:val="center"/>
              <w:rPr>
                <w:b/>
                <w:kern w:val="2"/>
                <w:sz w:val="24"/>
                <w:szCs w:val="24"/>
              </w:rPr>
            </w:pPr>
          </w:p>
        </w:tc>
      </w:tr>
      <w:tr w:rsidR="00E16B43" w:rsidTr="00E16B43">
        <w:trPr>
          <w:trHeight w:val="329"/>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rPr>
              <w:t>Забезпечення комфортних і безпечних умов навчання та праці</w:t>
            </w:r>
          </w:p>
        </w:tc>
      </w:tr>
      <w:tr w:rsidR="00E16B43" w:rsidTr="00E16B43">
        <w:trPr>
          <w:trHeight w:val="458"/>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 і дотримання їх</w:t>
            </w:r>
          </w:p>
        </w:tc>
        <w:tc>
          <w:tcPr>
            <w:tcW w:w="8931" w:type="dxa"/>
            <w:tcBorders>
              <w:top w:val="single" w:sz="4" w:space="0" w:color="auto"/>
              <w:left w:val="single" w:sz="4" w:space="0" w:color="auto"/>
              <w:bottom w:val="single" w:sz="4" w:space="0" w:color="auto"/>
              <w:right w:val="single" w:sz="4" w:space="0" w:color="auto"/>
            </w:tcBorders>
          </w:tcPr>
          <w:p w:rsidR="00E16B43" w:rsidRDefault="00E16B43">
            <w:pPr>
              <w:spacing w:line="256" w:lineRule="auto"/>
              <w:rPr>
                <w:sz w:val="24"/>
                <w:szCs w:val="24"/>
              </w:rPr>
            </w:pPr>
            <w:r>
              <w:rPr>
                <w:sz w:val="24"/>
                <w:szCs w:val="24"/>
              </w:rPr>
              <w:t>Проведення навчання/інструктажів з охорони праці, безпеки життєдіяльності, пожежної безпеки, правил поведінки в умовах надзвичайних ситуацій.</w:t>
            </w:r>
          </w:p>
          <w:p w:rsidR="00E16B43" w:rsidRDefault="00E16B43">
            <w:pPr>
              <w:widowControl w:val="0"/>
              <w:suppressAutoHyphens/>
              <w:autoSpaceDE w:val="0"/>
              <w:autoSpaceDN w:val="0"/>
              <w:adjustRightInd w:val="0"/>
              <w:spacing w:line="256" w:lineRule="auto"/>
              <w:rPr>
                <w:b/>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458"/>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Дотримання вимог щодо охорони праці, безпеки життєдіяльності, пожежної безпеки, правил поведінки учасниками освітнього процесу.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458"/>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4.</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 xml:space="preserve">Обізнаність з правилами поведінки в разі нещасного випадку зі здобувачами освіти та працівниками закладу освіти </w:t>
            </w:r>
            <w:r>
              <w:rPr>
                <w:b/>
                <w:sz w:val="24"/>
                <w:szCs w:val="24"/>
              </w:rPr>
              <w:lastRenderedPageBreak/>
              <w:t>чи раптового погіршення їх стану здоров’я і вживають необхідних заходів у таких ситуаціях</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lastRenderedPageBreak/>
              <w:t>Проведення навчання/інструктажів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458"/>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 xml:space="preserve">Дії  педагогічних працівників та керівництва закладу  у разі нещасного випадку відповідні до встановленого законодавством порядку.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5.</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sz w:val="24"/>
                <w:szCs w:val="24"/>
              </w:rPr>
              <w:t>Налагодження системи роботи з адаптації та інтеграції здобувачів освіти до освітнього процесу, педагогічних працівників до професійної діяльності</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Налагодження системи роботи з адаптації та інтеграції здобувачів освіти до освітнього процесу.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732"/>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Сприяння адаптації педагогічних працівників до професійної діяльності.</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247"/>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sz w:val="24"/>
                <w:szCs w:val="24"/>
              </w:rPr>
              <w:t>Створення освітнього середовища, вільного від будь-яких форм насильства та дискримінації</w:t>
            </w:r>
          </w:p>
        </w:tc>
      </w:tr>
      <w:tr w:rsidR="00E16B43" w:rsidTr="00E16B43">
        <w:trPr>
          <w:trHeight w:val="349"/>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6.</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kern w:val="2"/>
                <w:sz w:val="24"/>
                <w:szCs w:val="24"/>
              </w:rPr>
              <w:t>П</w:t>
            </w:r>
            <w:r>
              <w:rPr>
                <w:b/>
                <w:sz w:val="24"/>
                <w:szCs w:val="24"/>
              </w:rPr>
              <w:t>ланування та реалізація діяльності щодо запобігання будь-яким проявам дискримінації, булінгу в закладі</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Розроблення плану заходів із запобігання та протидії булінгу.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269"/>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Реалізація заходів із запобігання проявам дискримінації.</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Проходження навчання (керівниками та педагогічними працівниками), ознайомлюються з нормативно-правовими документами щодо виявлення ознак булінгу, іншого насильства та запобігання йому.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555"/>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Співпраця з представниками правоохоронних органів, іншими фахівцями з запитань запобігання та протидії булінгу.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38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7.</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sz w:val="24"/>
                <w:szCs w:val="24"/>
              </w:rPr>
              <w:t>Розроблення правил поведінки учасників освітнього процесу в закладі освіти забезпечують дотримання етичних норм, повагу до гідності, прав і свобод людини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Оприлюднення правил поведінки, спрямованих на формування позитивної мотивації у поведінці учасників освітнього процесу та реалізацію підходу, заснованого на правах людини.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38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Дотримання  учасниками освітнього процесу прийнятих у закладі освіти правил поведінки.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8.</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sz w:val="24"/>
                <w:szCs w:val="24"/>
              </w:rPr>
              <w:t>Протидія булінгу, іншому насильству, дотримання порядку реагування на їх прояви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Здійснення аналізу причин відсутності здобувачів освіти на заняттях та вживаються відповідні заходи з метою запобігання різним проявам насильства (у закладі освіти та/або вдома).</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308"/>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 xml:space="preserve">Реагування на звернення про випадки булінгу.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Здійснення системної роботи з виявлення, реагування та запобігання булінгу, іншому насильству (діагностування, індивідуальна робота, тренінгові заняття).</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2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 xml:space="preserve">Повідомлення органів та служби у справах дітей, правоохоронних органів у випадку виявлення фактів булінгу та іншого насильства.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251"/>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sz w:val="24"/>
                <w:szCs w:val="24"/>
              </w:rPr>
              <w:t>Формування інклюзивного, розвивального та мотивуючого до навчання освітнього простору</w:t>
            </w:r>
          </w:p>
        </w:tc>
      </w:tr>
      <w:tr w:rsidR="00E16B43" w:rsidTr="00E16B43">
        <w:trPr>
          <w:trHeight w:val="737"/>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9.</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Застосування методики та технології роботи з дітьми з особливими освітніми потребами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 xml:space="preserve"> Забезпечення асистентом вчителя, практичним психологом, вчителем-дефектологом, іншими фахівцями для реалізації інклюзивного навчання (у разі потреби).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441"/>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Забезпечення корекційної спрямованості освітнього процесу(у разі потреби).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475"/>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Застосування форм, методів, прийомів роботи з дітьми з особливими освітніми потребами.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737"/>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Налагодження співпраці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 xml:space="preserve"> Взаємодія з батьками дітей з особливими освітніми потребами, фахівцями інклюзивно-ресурсного центру, залучення їх до необхідної підтримки дітей під час здобуття освіти ( у разі наявності здобувачів освіти з особливими освітніми потребами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Індивідуальна програма розвитку розроблена за участі батьків та створені умови для залучення асистента дитини в освітній процес.</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1236"/>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Співпраця з інклюзивно-ресурсним центром щодо психолого-педагогічного супроводу дітей з особливими освітніми потребами.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kern w:val="2"/>
                <w:sz w:val="24"/>
                <w:szCs w:val="24"/>
              </w:rPr>
            </w:pPr>
          </w:p>
        </w:tc>
      </w:tr>
      <w:tr w:rsidR="00E16B43" w:rsidTr="00E16B43">
        <w:trPr>
          <w:trHeight w:val="61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rFonts w:eastAsia="Lucida Sans Unicode"/>
                <w:b/>
                <w:kern w:val="2"/>
              </w:rPr>
              <w:t>10.</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Створення освітнього середовища, що мотивує здобувачів освіти до оволодіння ключовими компетентностями та наскрізними уміннями, ведення здорового способу життя</w:t>
            </w:r>
          </w:p>
        </w:tc>
        <w:tc>
          <w:tcPr>
            <w:tcW w:w="893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rPr>
                <w:sz w:val="24"/>
                <w:szCs w:val="24"/>
              </w:rPr>
            </w:pPr>
            <w:r>
              <w:rPr>
                <w:sz w:val="24"/>
                <w:szCs w:val="24"/>
              </w:rPr>
              <w:t>Формування навички здорового способу життя (харчування, гігієна, фізична активність) та екологічно доцільної поведінки у здобувачів освіти.</w:t>
            </w:r>
          </w:p>
          <w:p w:rsidR="00E16B43" w:rsidRDefault="00E16B43">
            <w:pPr>
              <w:widowControl w:val="0"/>
              <w:suppressAutoHyphens/>
              <w:autoSpaceDE w:val="0"/>
              <w:autoSpaceDN w:val="0"/>
              <w:adjustRightInd w:val="0"/>
              <w:spacing w:line="256" w:lineRule="auto"/>
              <w:rPr>
                <w:b/>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749"/>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Забезпечення простору закладу освіти, обладнання, засобів навчання, що сприяють формуванню ключових компетентностей та наскрізних умінь здобувачів освіти.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61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rFonts w:eastAsia="Lucida Sans Unicode"/>
                <w:b/>
                <w:kern w:val="2"/>
              </w:rPr>
              <w:t>11.</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Створення  простору інформаційної взаємодії та соціально-культурної комунікації учасників освітнього процесу (бібліотека,  інформаційно-ресурсний центр)</w:t>
            </w:r>
          </w:p>
        </w:tc>
        <w:tc>
          <w:tcPr>
            <w:tcW w:w="8931"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b/>
                <w:kern w:val="2"/>
                <w:sz w:val="24"/>
                <w:szCs w:val="24"/>
              </w:rPr>
            </w:pPr>
            <w:r>
              <w:rPr>
                <w:sz w:val="24"/>
                <w:szCs w:val="24"/>
              </w:rPr>
              <w:t>Використання простору і ресурсів бібліотеки/інформаційно-ресурсного центру для індивідуальної, групової, проєктної та іншої роботи у рамках освітнього процесу, різних форм комунікації учасників освітнього процесу.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647"/>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255"/>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rFonts w:eastAsia="Lucida Sans Unicode"/>
                <w:b/>
                <w:color w:val="212529"/>
                <w:kern w:val="2"/>
              </w:rPr>
              <w:t>Стан організації навчальної та виховної роботи, додержання вимог державних освітніх стандартів</w:t>
            </w:r>
            <w:r>
              <w:rPr>
                <w:b/>
                <w:sz w:val="24"/>
                <w:szCs w:val="24"/>
              </w:rPr>
              <w:t xml:space="preserve"> </w:t>
            </w:r>
          </w:p>
        </w:tc>
      </w:tr>
      <w:tr w:rsidR="00E16B43" w:rsidTr="00E16B43">
        <w:trPr>
          <w:trHeight w:val="561"/>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12.</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 xml:space="preserve">Здійснення </w:t>
            </w:r>
          </w:p>
          <w:p w:rsidR="00E16B43" w:rsidRDefault="00E16B43">
            <w:pPr>
              <w:widowControl w:val="0"/>
              <w:suppressAutoHyphens/>
              <w:autoSpaceDE w:val="0"/>
              <w:autoSpaceDN w:val="0"/>
              <w:adjustRightInd w:val="0"/>
              <w:spacing w:line="256" w:lineRule="auto"/>
              <w:jc w:val="center"/>
              <w:rPr>
                <w:b/>
                <w:sz w:val="24"/>
                <w:szCs w:val="24"/>
              </w:rPr>
            </w:pPr>
            <w:r>
              <w:rPr>
                <w:b/>
                <w:sz w:val="24"/>
                <w:szCs w:val="24"/>
              </w:rPr>
              <w:t>комплектування класів</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rPr>
                <w:kern w:val="2"/>
                <w:sz w:val="24"/>
                <w:szCs w:val="24"/>
              </w:rPr>
            </w:pPr>
            <w:r>
              <w:rPr>
                <w:sz w:val="24"/>
                <w:szCs w:val="24"/>
              </w:rPr>
              <w:t>Забезпечення раціонального комплектування класів (з урахуванням чисельності здобувачів освіти, їх особливих освітніх потреб).</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618"/>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13.</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b/>
                <w:kern w:val="2"/>
                <w:sz w:val="24"/>
                <w:szCs w:val="24"/>
              </w:rPr>
              <w:t>Складання розкладу навчальних занять у закладі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rPr>
                <w:kern w:val="2"/>
                <w:sz w:val="24"/>
                <w:szCs w:val="24"/>
              </w:rPr>
            </w:pPr>
            <w:r>
              <w:rPr>
                <w:kern w:val="2"/>
                <w:sz w:val="24"/>
                <w:szCs w:val="24"/>
              </w:rPr>
              <w:t>Формування розкладу відповідно до освітньої програми та санітарно-гігієнічним норм.</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b/>
                <w:color w:val="FF0000"/>
                <w:kern w:val="2"/>
                <w:sz w:val="24"/>
                <w:szCs w:val="24"/>
              </w:rPr>
            </w:pPr>
          </w:p>
        </w:tc>
      </w:tr>
      <w:tr w:rsidR="00E16B43" w:rsidTr="00E16B43">
        <w:trPr>
          <w:trHeight w:val="307"/>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Система оцінювання здобувачів освіти</w:t>
            </w:r>
          </w:p>
        </w:tc>
      </w:tr>
      <w:tr w:rsidR="00E16B43" w:rsidTr="00E16B43">
        <w:trPr>
          <w:trHeight w:val="443"/>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Наявність відкритої, прозорої і зрозумілої для здобувачів освіти системи оцінювання результатів навчання</w:t>
            </w: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14.</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jc w:val="center"/>
              <w:rPr>
                <w:b/>
                <w:sz w:val="24"/>
                <w:szCs w:val="24"/>
              </w:rPr>
            </w:pPr>
            <w:r>
              <w:rPr>
                <w:b/>
                <w:sz w:val="24"/>
                <w:szCs w:val="24"/>
              </w:rPr>
              <w:t>Інформування про критерії, правила та процедури оцінювання результатів навчання</w:t>
            </w:r>
          </w:p>
        </w:tc>
        <w:tc>
          <w:tcPr>
            <w:tcW w:w="8931" w:type="dxa"/>
            <w:tcBorders>
              <w:top w:val="single" w:sz="4" w:space="0" w:color="auto"/>
              <w:left w:val="single" w:sz="4" w:space="0" w:color="auto"/>
              <w:bottom w:val="single" w:sz="4" w:space="0" w:color="auto"/>
              <w:right w:val="single" w:sz="4" w:space="0" w:color="auto"/>
            </w:tcBorders>
          </w:tcPr>
          <w:p w:rsidR="00E16B43" w:rsidRDefault="00E16B43">
            <w:pPr>
              <w:tabs>
                <w:tab w:val="left" w:pos="33"/>
              </w:tabs>
              <w:spacing w:line="256" w:lineRule="auto"/>
              <w:rPr>
                <w:sz w:val="24"/>
                <w:szCs w:val="24"/>
              </w:rPr>
            </w:pPr>
            <w:r>
              <w:rPr>
                <w:sz w:val="24"/>
                <w:szCs w:val="24"/>
              </w:rPr>
              <w:t>Оприлюднення критеріїв, правил та процедур оцінювання результатів навчання.</w:t>
            </w:r>
          </w:p>
          <w:p w:rsidR="00E16B43" w:rsidRDefault="00E16B43">
            <w:pPr>
              <w:tabs>
                <w:tab w:val="left" w:pos="33"/>
                <w:tab w:val="left" w:pos="526"/>
              </w:tabs>
              <w:spacing w:line="25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15.</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Наявність системи оцінювання в закладі освіти сприяє реалізації компетентнісного підходу до навчання</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Застосування системи оцінювання, спрямованої на реалізацію компетентнісного підходу.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16.</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 xml:space="preserve">Розроблення/адаптація </w:t>
            </w:r>
            <w:r>
              <w:rPr>
                <w:b/>
                <w:kern w:val="2"/>
                <w:sz w:val="24"/>
                <w:szCs w:val="24"/>
              </w:rPr>
              <w:t xml:space="preserve"> критеріїв оцінювання до окремих видів робіт</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kern w:val="2"/>
                <w:sz w:val="24"/>
                <w:szCs w:val="24"/>
              </w:rPr>
            </w:pPr>
            <w:r>
              <w:rPr>
                <w:sz w:val="24"/>
                <w:szCs w:val="24"/>
              </w:rPr>
              <w:t xml:space="preserve">Розроблення/адаптація </w:t>
            </w:r>
            <w:r>
              <w:rPr>
                <w:kern w:val="2"/>
                <w:sz w:val="24"/>
                <w:szCs w:val="24"/>
              </w:rPr>
              <w:t>критеріїв оцінювання з урахування специфіки предмета, вікових особливостей учнів, індивідуального та диференційованого підходів.</w:t>
            </w:r>
          </w:p>
          <w:p w:rsidR="00E16B43" w:rsidRDefault="00E16B43">
            <w:pPr>
              <w:spacing w:line="256" w:lineRule="auto"/>
              <w:rPr>
                <w:sz w:val="24"/>
                <w:szCs w:val="24"/>
              </w:rPr>
            </w:pPr>
            <w:r>
              <w:rPr>
                <w:kern w:val="2"/>
                <w:sz w:val="24"/>
                <w:szCs w:val="24"/>
              </w:rPr>
              <w:t xml:space="preserve">Ознайомлення з адаптованими критеріями учнів/батьків (через вайбер-групи, сайт, </w:t>
            </w:r>
            <w:r>
              <w:rPr>
                <w:kern w:val="2"/>
                <w:sz w:val="24"/>
                <w:szCs w:val="24"/>
                <w:lang w:val="en-US"/>
              </w:rPr>
              <w:t>Classroom</w:t>
            </w:r>
            <w:r>
              <w:rPr>
                <w:kern w:val="2"/>
                <w:sz w:val="24"/>
                <w:szCs w:val="24"/>
              </w:rPr>
              <w:t>, батьківські збори, електронні журнали).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b/>
                <w:sz w:val="24"/>
                <w:szCs w:val="24"/>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E16B43" w:rsidTr="00E16B43">
        <w:trPr>
          <w:trHeight w:val="1400"/>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17.</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jc w:val="center"/>
              <w:rPr>
                <w:b/>
                <w:sz w:val="24"/>
                <w:szCs w:val="24"/>
              </w:rPr>
            </w:pPr>
            <w:r>
              <w:rPr>
                <w:b/>
                <w:kern w:val="2"/>
                <w:sz w:val="24"/>
                <w:szCs w:val="24"/>
              </w:rPr>
              <w:t>Визначення Порядку проведення внутрішнього моніторингу для дослідження стану і результатів навчання здобувачів освіти та освітньої діяльності закладу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rPr>
                <w:sz w:val="24"/>
                <w:szCs w:val="24"/>
              </w:rPr>
            </w:pPr>
            <w:r>
              <w:rPr>
                <w:kern w:val="2"/>
                <w:sz w:val="24"/>
                <w:szCs w:val="24"/>
              </w:rPr>
              <w:t>Розроблення Положенням про внутрішню систему забезпечення якості освіти (або Положенням про внутрішній моніторинг) Порядку проведення внутрішнього моніторингу для дослідження стану і результатів навчання здобувачів освіти  та освітньої діяльності закладу освіти.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08"/>
        </w:trPr>
        <w:tc>
          <w:tcPr>
            <w:tcW w:w="623" w:type="dxa"/>
            <w:vMerge w:val="restart"/>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18.</w:t>
            </w:r>
          </w:p>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jc w:val="center"/>
              <w:rPr>
                <w:b/>
                <w:sz w:val="24"/>
                <w:szCs w:val="24"/>
              </w:rPr>
            </w:pPr>
            <w:r>
              <w:rPr>
                <w:b/>
                <w:sz w:val="24"/>
                <w:szCs w:val="24"/>
              </w:rPr>
              <w:t>Здійснення аналізу результатів навчання здобувачів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rPr>
                <w:sz w:val="24"/>
                <w:szCs w:val="24"/>
              </w:rPr>
            </w:pPr>
            <w:r>
              <w:rPr>
                <w:sz w:val="24"/>
                <w:szCs w:val="24"/>
              </w:rPr>
              <w:t xml:space="preserve">Проведення систематичних моніторингів результатів навчання здобувачів освіти.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526"/>
              </w:tabs>
              <w:spacing w:line="256" w:lineRule="auto"/>
              <w:rPr>
                <w:sz w:val="24"/>
                <w:szCs w:val="24"/>
              </w:rPr>
            </w:pPr>
            <w:r>
              <w:rPr>
                <w:sz w:val="24"/>
                <w:szCs w:val="24"/>
              </w:rPr>
              <w:t>Здійснення аналізу результатів навчання здобувачів освіти за результатами моніторингів, прийняття рішення щодо їх коригування.</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555"/>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19.</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Упровадження системи формувального оцінювання</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Відстежування особистісного поступу здобувачів освіти за допомогою оцінювання, формування у них позитивної самооцінки.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b/>
                <w:sz w:val="24"/>
                <w:szCs w:val="24"/>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20.</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 xml:space="preserve">Забезпечення заходів, що сприяють формуванню у здобувачів освіти </w:t>
            </w:r>
            <w:r>
              <w:rPr>
                <w:b/>
                <w:sz w:val="24"/>
                <w:szCs w:val="24"/>
              </w:rPr>
              <w:lastRenderedPageBreak/>
              <w:t>відповідального ставлення до результатів навчання</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lastRenderedPageBreak/>
              <w:t>Надання педагогічними працівниками здобувачам освіти необхідної допомоги в навчальній діяльності.</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21.</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Забезпечення самооцінювання та взаємооцінювання здобувачів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 xml:space="preserve">Використання прийомів самооцінювання та взаємооцінювання здобувачів освіти в системі оцінювання результатів навчання.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21"/>
        </w:trPr>
        <w:tc>
          <w:tcPr>
            <w:tcW w:w="14142" w:type="dxa"/>
            <w:gridSpan w:val="3"/>
            <w:tcBorders>
              <w:top w:val="single" w:sz="4" w:space="0" w:color="auto"/>
              <w:left w:val="single" w:sz="4" w:space="0" w:color="auto"/>
              <w:bottom w:val="single" w:sz="4" w:space="0" w:color="auto"/>
              <w:right w:val="single" w:sz="4" w:space="0" w:color="auto"/>
            </w:tcBorders>
            <w:hideMark/>
          </w:tcPr>
          <w:p w:rsidR="00E16B43" w:rsidRDefault="00E16B43">
            <w:pPr>
              <w:tabs>
                <w:tab w:val="left" w:pos="302"/>
                <w:tab w:val="left" w:pos="993"/>
                <w:tab w:val="left" w:pos="6946"/>
                <w:tab w:val="left" w:pos="7088"/>
              </w:tabs>
              <w:spacing w:line="256" w:lineRule="auto"/>
              <w:ind w:right="-111"/>
              <w:jc w:val="center"/>
              <w:rPr>
                <w:b/>
                <w:sz w:val="24"/>
                <w:szCs w:val="24"/>
              </w:rPr>
            </w:pPr>
            <w:r>
              <w:rPr>
                <w:b/>
                <w:sz w:val="24"/>
                <w:szCs w:val="24"/>
              </w:rPr>
              <w:t>Педагогічна діяльність педагогічних працівників закладу освіти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rPr>
            </w:pPr>
            <w:r>
              <w:rPr>
                <w:b/>
                <w:sz w:val="24"/>
                <w:szCs w:val="24"/>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22.</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315"/>
                <w:tab w:val="left" w:pos="480"/>
              </w:tabs>
              <w:spacing w:line="256" w:lineRule="auto"/>
              <w:jc w:val="center"/>
              <w:rPr>
                <w:b/>
                <w:sz w:val="24"/>
                <w:szCs w:val="24"/>
              </w:rPr>
            </w:pPr>
            <w:r>
              <w:rPr>
                <w:b/>
                <w:sz w:val="24"/>
                <w:szCs w:val="24"/>
              </w:rPr>
              <w:t>Формування здатності педагогічних працівників до планування своєї діяльності, аналізу її результативності</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0"/>
                <w:tab w:val="left" w:pos="37"/>
              </w:tabs>
              <w:spacing w:line="256" w:lineRule="auto"/>
              <w:rPr>
                <w:sz w:val="24"/>
                <w:szCs w:val="24"/>
              </w:rPr>
            </w:pPr>
            <w:r>
              <w:rPr>
                <w:sz w:val="24"/>
                <w:szCs w:val="24"/>
              </w:rPr>
              <w:t>Використання календарно-тематичного планування, що відповідає освітній програмі закладу освіти.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23.</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3астосування освітніх технологій, спрямованих на формування ключових компетентностей і наскрізних умінь здобувачів освіти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Розроблення плану та заходів щодо використання освітніх технологій, спрямованих на оволодіння здобувачами освіти ключовими компетентностями та наскрізними уміннями.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24.</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Формування та реалізація індивідуальних освітніх траєкторій для здобувачів освіти (за потреби)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Залучення педагогічних працівників до розроблення індивідуальних освітніх траєкторій (складають завдання, перевіряють роботи, надають консультації, проводять оцінювання результатів навчання.</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25.</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Створення та/або використання освітніх ресурсів (електронні презентації, відеоматеріали, методичні розробки, веб-сайти, блоги)</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Мотивація педагогічних працівників щодо створення та використання власних освітніх ресурсів, публікацій  професійної тематики та оприлюднення методичних розробок.</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26.</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Сприяння формуванню суспільних цінностей у здобувачів освіти у процесі їх навчання, виховання та розвитку</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Забезпечення використання учителями змісту предмету (курсу), інтегрованих змістових ліній для формування суспільних цінностей, виховання патріотизму.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27.</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jc w:val="center"/>
              <w:rPr>
                <w:b/>
                <w:sz w:val="24"/>
                <w:szCs w:val="24"/>
              </w:rPr>
            </w:pPr>
            <w:r>
              <w:rPr>
                <w:b/>
                <w:sz w:val="24"/>
                <w:szCs w:val="24"/>
              </w:rPr>
              <w:t>Використання інформаційно-комунікаційних технологій в освітньому процесі</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pacing w:line="256" w:lineRule="auto"/>
              <w:rPr>
                <w:sz w:val="24"/>
                <w:szCs w:val="24"/>
              </w:rPr>
            </w:pPr>
            <w:r>
              <w:rPr>
                <w:sz w:val="24"/>
                <w:szCs w:val="24"/>
              </w:rPr>
              <w:t xml:space="preserve">Розроблення плану та заходів щодо застосування інформаційно-комунікаційних технологій в освітньому процесі.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45"/>
        </w:trPr>
        <w:tc>
          <w:tcPr>
            <w:tcW w:w="14142" w:type="dxa"/>
            <w:gridSpan w:val="3"/>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sz w:val="24"/>
                <w:szCs w:val="24"/>
              </w:rPr>
            </w:pPr>
            <w:r>
              <w:rPr>
                <w:b/>
                <w:sz w:val="24"/>
                <w:szCs w:val="24"/>
              </w:rPr>
              <w:t>Постійне підвищення професійного рівня і педагогічної майстерності педагогічних працівників</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28.</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jc w:val="center"/>
              <w:rPr>
                <w:sz w:val="24"/>
                <w:szCs w:val="24"/>
              </w:rPr>
            </w:pPr>
            <w:r>
              <w:rPr>
                <w:b/>
                <w:kern w:val="2"/>
                <w:sz w:val="24"/>
                <w:szCs w:val="24"/>
              </w:rPr>
              <w:t>Розроблення орієнтовного плану підвищення кваліфікації з урахуванням пропозицій педагогічних працівників</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rPr>
                <w:kern w:val="2"/>
                <w:sz w:val="24"/>
                <w:szCs w:val="24"/>
              </w:rPr>
            </w:pPr>
            <w:r>
              <w:rPr>
                <w:kern w:val="2"/>
                <w:sz w:val="24"/>
                <w:szCs w:val="24"/>
              </w:rPr>
              <w:t xml:space="preserve">Подання пропозиції засновнику щодо обсягу коштів для підвищення кваліфікації. Визначення загального обсягу коштів, передбаченого для підвищення кваліфікації працівників закладу </w:t>
            </w:r>
            <w:r>
              <w:rPr>
                <w:b/>
                <w:kern w:val="2"/>
                <w:sz w:val="24"/>
                <w:szCs w:val="24"/>
              </w:rPr>
              <w:t>(щорічно).</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29.</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jc w:val="center"/>
              <w:rPr>
                <w:b/>
                <w:kern w:val="2"/>
                <w:sz w:val="24"/>
                <w:szCs w:val="24"/>
              </w:rPr>
            </w:pPr>
            <w:r>
              <w:rPr>
                <w:b/>
                <w:kern w:val="2"/>
                <w:sz w:val="24"/>
                <w:szCs w:val="24"/>
              </w:rPr>
              <w:t>Встановлення Порядку визнання результатів підвищення кваліфікації</w:t>
            </w:r>
          </w:p>
          <w:p w:rsidR="00E16B43" w:rsidRDefault="00E16B43">
            <w:pPr>
              <w:tabs>
                <w:tab w:val="left" w:pos="315"/>
                <w:tab w:val="left" w:pos="535"/>
                <w:tab w:val="left" w:pos="709"/>
                <w:tab w:val="left" w:pos="1134"/>
              </w:tabs>
              <w:spacing w:line="256" w:lineRule="auto"/>
              <w:jc w:val="center"/>
              <w:rPr>
                <w:sz w:val="24"/>
                <w:szCs w:val="24"/>
              </w:rPr>
            </w:pPr>
            <w:r>
              <w:rPr>
                <w:b/>
                <w:kern w:val="2"/>
                <w:sz w:val="24"/>
                <w:szCs w:val="24"/>
              </w:rPr>
              <w:t>педагогічних працівників</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rPr>
                <w:kern w:val="2"/>
                <w:sz w:val="24"/>
                <w:szCs w:val="24"/>
              </w:rPr>
            </w:pPr>
            <w:r>
              <w:rPr>
                <w:kern w:val="2"/>
                <w:sz w:val="24"/>
                <w:szCs w:val="24"/>
              </w:rPr>
              <w:t>Розроблення Порядку визнання результатів підвищення кваліфікації</w:t>
            </w:r>
          </w:p>
          <w:p w:rsidR="00E16B43" w:rsidRDefault="00E16B43">
            <w:pPr>
              <w:spacing w:line="256" w:lineRule="auto"/>
              <w:rPr>
                <w:sz w:val="24"/>
                <w:szCs w:val="24"/>
              </w:rPr>
            </w:pPr>
            <w:r>
              <w:rPr>
                <w:kern w:val="2"/>
                <w:sz w:val="24"/>
                <w:szCs w:val="24"/>
              </w:rPr>
              <w:t>педагогічних працівників.</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273"/>
        </w:trPr>
        <w:tc>
          <w:tcPr>
            <w:tcW w:w="623"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30.</w:t>
            </w:r>
          </w:p>
        </w:tc>
        <w:tc>
          <w:tcPr>
            <w:tcW w:w="4588" w:type="dxa"/>
            <w:vMerge w:val="restart"/>
            <w:tcBorders>
              <w:top w:val="single" w:sz="4" w:space="0" w:color="auto"/>
              <w:left w:val="single" w:sz="4" w:space="0" w:color="auto"/>
              <w:bottom w:val="single" w:sz="4" w:space="0" w:color="auto"/>
              <w:right w:val="single" w:sz="4" w:space="0" w:color="auto"/>
            </w:tcBorders>
            <w:hideMark/>
          </w:tcPr>
          <w:p w:rsidR="00E16B43" w:rsidRDefault="00E16B43">
            <w:pPr>
              <w:tabs>
                <w:tab w:val="left" w:pos="315"/>
                <w:tab w:val="left" w:pos="535"/>
                <w:tab w:val="left" w:pos="738"/>
              </w:tabs>
              <w:spacing w:line="256" w:lineRule="auto"/>
              <w:jc w:val="center"/>
              <w:rPr>
                <w:b/>
                <w:sz w:val="24"/>
                <w:szCs w:val="24"/>
              </w:rPr>
            </w:pPr>
            <w:r>
              <w:rPr>
                <w:b/>
                <w:sz w:val="24"/>
                <w:szCs w:val="24"/>
              </w:rPr>
              <w:t>Здійснення інноваційної освітньої діяльності, залучення до  участі у освітніх проєктах та до роботи як освітніх експертів</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317"/>
              </w:tabs>
              <w:spacing w:line="256" w:lineRule="auto"/>
              <w:rPr>
                <w:sz w:val="24"/>
                <w:szCs w:val="24"/>
              </w:rPr>
            </w:pPr>
            <w:r>
              <w:rPr>
                <w:sz w:val="24"/>
                <w:szCs w:val="24"/>
              </w:rPr>
              <w:t>П</w:t>
            </w:r>
            <w:r>
              <w:rPr>
                <w:b/>
                <w:sz w:val="24"/>
                <w:szCs w:val="24"/>
              </w:rPr>
              <w:t xml:space="preserve">ланування </w:t>
            </w:r>
            <w:r>
              <w:rPr>
                <w:sz w:val="24"/>
                <w:szCs w:val="24"/>
              </w:rPr>
              <w:t xml:space="preserve">та </w:t>
            </w:r>
            <w:r>
              <w:rPr>
                <w:b/>
                <w:sz w:val="24"/>
                <w:szCs w:val="24"/>
              </w:rPr>
              <w:t xml:space="preserve">реалізація </w:t>
            </w:r>
            <w:r>
              <w:rPr>
                <w:sz w:val="24"/>
                <w:szCs w:val="24"/>
              </w:rPr>
              <w:t>заходів щодо участі педагогічних працівників в інноваційній роботі (розроблення/адаптація, впровадження освітніх технологій, експериментальна робота).</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285"/>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317"/>
              </w:tabs>
              <w:spacing w:line="256" w:lineRule="auto"/>
              <w:rPr>
                <w:sz w:val="24"/>
                <w:szCs w:val="24"/>
              </w:rPr>
            </w:pPr>
            <w:r>
              <w:rPr>
                <w:sz w:val="24"/>
                <w:szCs w:val="24"/>
              </w:rPr>
              <w:t>Сприяння розвитку ініціативи та/або реалізації освітніх проєктів.</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262"/>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rFonts w:eastAsia="Lucida Sans Unicode"/>
                <w:b/>
                <w:color w:val="212529"/>
                <w:kern w:val="2"/>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E16B43" w:rsidRDefault="00E16B43">
            <w:pPr>
              <w:spacing w:line="256" w:lineRule="auto"/>
              <w:rPr>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317"/>
              </w:tabs>
              <w:spacing w:line="256" w:lineRule="auto"/>
              <w:rPr>
                <w:sz w:val="24"/>
                <w:szCs w:val="24"/>
              </w:rPr>
            </w:pPr>
            <w:r>
              <w:rPr>
                <w:sz w:val="24"/>
                <w:szCs w:val="24"/>
              </w:rPr>
              <w:t>Залучення до здійснення експертної діяльності.</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39"/>
        </w:trPr>
        <w:tc>
          <w:tcPr>
            <w:tcW w:w="14142" w:type="dxa"/>
            <w:gridSpan w:val="3"/>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kern w:val="2"/>
                <w:sz w:val="24"/>
                <w:szCs w:val="24"/>
              </w:rPr>
            </w:pPr>
            <w:r>
              <w:rPr>
                <w:b/>
                <w:sz w:val="24"/>
                <w:szCs w:val="24"/>
              </w:rPr>
              <w:t>Налагодження співпраці зі здобувачами освіти, їх батьками, працівниками закладу освіти.</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31.</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459"/>
                <w:tab w:val="left" w:pos="608"/>
                <w:tab w:val="left" w:pos="1134"/>
              </w:tabs>
              <w:spacing w:line="256" w:lineRule="auto"/>
              <w:rPr>
                <w:sz w:val="24"/>
                <w:szCs w:val="24"/>
              </w:rPr>
            </w:pPr>
            <w:r>
              <w:rPr>
                <w:b/>
                <w:sz w:val="24"/>
                <w:szCs w:val="24"/>
              </w:rPr>
              <w:t>Забезпечення співпраці педагогів з батьками здобувачів освіти на засадах педагогіки партнерства</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tabs>
                <w:tab w:val="left" w:pos="459"/>
                <w:tab w:val="left" w:pos="608"/>
                <w:tab w:val="left" w:pos="1134"/>
              </w:tabs>
              <w:spacing w:line="256" w:lineRule="auto"/>
              <w:rPr>
                <w:sz w:val="24"/>
                <w:szCs w:val="24"/>
              </w:rPr>
            </w:pPr>
            <w:r>
              <w:rPr>
                <w:sz w:val="24"/>
                <w:szCs w:val="24"/>
              </w:rPr>
              <w:t>П</w:t>
            </w:r>
            <w:r>
              <w:rPr>
                <w:b/>
                <w:sz w:val="24"/>
                <w:szCs w:val="24"/>
              </w:rPr>
              <w:t xml:space="preserve">ланування </w:t>
            </w:r>
            <w:r>
              <w:rPr>
                <w:sz w:val="24"/>
                <w:szCs w:val="24"/>
              </w:rPr>
              <w:t xml:space="preserve">та </w:t>
            </w:r>
            <w:r>
              <w:rPr>
                <w:b/>
                <w:sz w:val="24"/>
                <w:szCs w:val="24"/>
              </w:rPr>
              <w:t xml:space="preserve">реалізація </w:t>
            </w:r>
            <w:r>
              <w:rPr>
                <w:sz w:val="24"/>
                <w:szCs w:val="24"/>
              </w:rPr>
              <w:t xml:space="preserve">заходів, що передбачають співпрацю/ комунікацію педагогів з батьками здобувачів освіти. Застосування </w:t>
            </w:r>
            <w:r>
              <w:rPr>
                <w:b/>
                <w:sz w:val="24"/>
                <w:szCs w:val="24"/>
              </w:rPr>
              <w:t>ефективних форм</w:t>
            </w:r>
            <w:r>
              <w:rPr>
                <w:sz w:val="24"/>
                <w:szCs w:val="24"/>
              </w:rPr>
              <w:t xml:space="preserve"> налагодження партнерських взаємин освітян з батьківською громадою. </w:t>
            </w:r>
            <w:r>
              <w:rPr>
                <w:b/>
                <w:sz w:val="24"/>
                <w:szCs w:val="24"/>
              </w:rPr>
              <w:t xml:space="preserve">Забезпечення </w:t>
            </w:r>
            <w:r>
              <w:rPr>
                <w:sz w:val="24"/>
                <w:szCs w:val="24"/>
              </w:rPr>
              <w:t>зворотного зв’язку.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32.</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hd w:val="clear" w:color="auto" w:fill="FFFFFF"/>
              <w:spacing w:line="256" w:lineRule="auto"/>
              <w:rPr>
                <w:sz w:val="24"/>
                <w:szCs w:val="24"/>
              </w:rPr>
            </w:pPr>
            <w:r>
              <w:rPr>
                <w:b/>
                <w:sz w:val="24"/>
                <w:szCs w:val="24"/>
              </w:rPr>
              <w:t>Налагодження професійної співпраці, наставництва, взаємовідвідування уроків</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hd w:val="clear" w:color="auto" w:fill="FFFFFF"/>
              <w:spacing w:line="256" w:lineRule="auto"/>
              <w:rPr>
                <w:sz w:val="24"/>
                <w:szCs w:val="24"/>
              </w:rPr>
            </w:pPr>
            <w:r>
              <w:rPr>
                <w:sz w:val="24"/>
                <w:szCs w:val="24"/>
              </w:rPr>
              <w:t>Надання методичної підтримки колегам, організація обміну досвідом (консультації, навчальні семінари, майстер-класи, конференції, взаємовідвідування занять, наставництво, публікації).</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81"/>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Додержання педагогічної етики, моралі</w:t>
            </w:r>
          </w:p>
        </w:tc>
      </w:tr>
      <w:tr w:rsidR="00E16B43" w:rsidTr="00E16B43">
        <w:trPr>
          <w:trHeight w:val="347"/>
        </w:trPr>
        <w:tc>
          <w:tcPr>
            <w:tcW w:w="14142" w:type="dxa"/>
            <w:gridSpan w:val="3"/>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sz w:val="24"/>
                <w:szCs w:val="24"/>
              </w:rPr>
            </w:pPr>
            <w:r>
              <w:rPr>
                <w:b/>
                <w:sz w:val="24"/>
                <w:szCs w:val="24"/>
              </w:rPr>
              <w:t>Організація педагогічної діяльності та навчання здобувачів освіти на засадах академічної доброчесності</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33.</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tabs>
                <w:tab w:val="left" w:pos="2524"/>
              </w:tabs>
              <w:suppressAutoHyphens/>
              <w:spacing w:line="256" w:lineRule="auto"/>
              <w:jc w:val="center"/>
              <w:rPr>
                <w:b/>
                <w:kern w:val="2"/>
                <w:sz w:val="24"/>
                <w:szCs w:val="24"/>
              </w:rPr>
            </w:pPr>
            <w:r>
              <w:rPr>
                <w:b/>
                <w:sz w:val="24"/>
                <w:szCs w:val="24"/>
              </w:rPr>
              <w:t>З</w:t>
            </w:r>
            <w:r>
              <w:rPr>
                <w:b/>
                <w:kern w:val="2"/>
                <w:sz w:val="24"/>
                <w:szCs w:val="24"/>
              </w:rPr>
              <w:t>абезпечення реалізації заходів щодо формування академічної доброчесності учасників освітнього процесу</w:t>
            </w:r>
          </w:p>
        </w:tc>
        <w:tc>
          <w:tcPr>
            <w:tcW w:w="8931" w:type="dxa"/>
            <w:tcBorders>
              <w:top w:val="single" w:sz="4" w:space="0" w:color="auto"/>
              <w:left w:val="single" w:sz="4" w:space="0" w:color="auto"/>
              <w:bottom w:val="single" w:sz="4" w:space="0" w:color="auto"/>
              <w:right w:val="single" w:sz="4" w:space="0" w:color="auto"/>
            </w:tcBorders>
          </w:tcPr>
          <w:p w:rsidR="00E16B43" w:rsidRDefault="00E16B43">
            <w:pPr>
              <w:widowControl w:val="0"/>
              <w:tabs>
                <w:tab w:val="left" w:pos="2524"/>
              </w:tabs>
              <w:suppressAutoHyphens/>
              <w:spacing w:line="256" w:lineRule="auto"/>
              <w:rPr>
                <w:kern w:val="2"/>
                <w:sz w:val="24"/>
                <w:szCs w:val="24"/>
              </w:rPr>
            </w:pPr>
            <w:r>
              <w:rPr>
                <w:sz w:val="24"/>
                <w:szCs w:val="24"/>
              </w:rPr>
              <w:t xml:space="preserve">Розроблення </w:t>
            </w:r>
            <w:r>
              <w:rPr>
                <w:kern w:val="2"/>
                <w:sz w:val="24"/>
                <w:szCs w:val="24"/>
              </w:rPr>
              <w:t>заходів щодо формування академічної доброчесності учасників освітнього процесу.</w:t>
            </w:r>
          </w:p>
          <w:p w:rsidR="00E16B43" w:rsidRDefault="00E16B43">
            <w:pPr>
              <w:shd w:val="clear" w:color="auto" w:fill="FFFFFF"/>
              <w:spacing w:line="25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443"/>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34.</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shd w:val="clear" w:color="auto" w:fill="FFFFFF"/>
              <w:spacing w:line="256" w:lineRule="auto"/>
              <w:jc w:val="center"/>
              <w:rPr>
                <w:b/>
                <w:sz w:val="24"/>
                <w:szCs w:val="24"/>
              </w:rPr>
            </w:pPr>
            <w:r>
              <w:rPr>
                <w:b/>
                <w:kern w:val="2"/>
                <w:sz w:val="24"/>
                <w:szCs w:val="24"/>
              </w:rPr>
              <w:t>Передбачення механізмів забезпечення академічної доброчесності, порядку виявлення та встановлення фактів її порушення, види академічної відповідальності педагогічних працівників та учнів за конкретні порушення академічної доброчесності.</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shd w:val="clear" w:color="auto" w:fill="FFFFFF"/>
              <w:spacing w:line="256" w:lineRule="auto"/>
              <w:rPr>
                <w:sz w:val="24"/>
                <w:szCs w:val="24"/>
              </w:rPr>
            </w:pPr>
            <w:r>
              <w:rPr>
                <w:kern w:val="2"/>
                <w:sz w:val="24"/>
                <w:szCs w:val="24"/>
              </w:rPr>
              <w:t>Внутрішньою системою забезпечення якості освіти (Положенням про ВСЗЯО або окремим Положенням) розроблено механізми забезпечення академічної доброчесності, порядок виявлення та встановлення фактів її порушення, види академічної відповідальності педагогічних працівників та учнів за конкретні порушення академічної доброчесності.</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p>
        </w:tc>
      </w:tr>
      <w:tr w:rsidR="00E16B43" w:rsidTr="00E16B43">
        <w:trPr>
          <w:trHeight w:val="302"/>
        </w:trPr>
        <w:tc>
          <w:tcPr>
            <w:tcW w:w="14993" w:type="dxa"/>
            <w:gridSpan w:val="4"/>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b/>
                <w:kern w:val="2"/>
                <w:sz w:val="24"/>
                <w:szCs w:val="24"/>
              </w:rPr>
            </w:pPr>
            <w:r>
              <w:rPr>
                <w:rFonts w:eastAsia="Lucida Sans Unicode"/>
                <w:b/>
                <w:color w:val="212529"/>
                <w:kern w:val="2"/>
                <w:sz w:val="24"/>
                <w:szCs w:val="24"/>
              </w:rPr>
              <w:t>Ефективність взаємодії з громадськими організаціями та органами шкільного самоврядування</w:t>
            </w:r>
          </w:p>
        </w:tc>
      </w:tr>
      <w:tr w:rsidR="00E16B43" w:rsidTr="00E16B43">
        <w:trPr>
          <w:trHeight w:val="726"/>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lastRenderedPageBreak/>
              <w:t>35.</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24"/>
                <w:szCs w:val="24"/>
              </w:rPr>
            </w:pPr>
            <w:r>
              <w:rPr>
                <w:rFonts w:eastAsia="Lucida Sans Unicode"/>
                <w:b/>
                <w:color w:val="212529"/>
                <w:kern w:val="2"/>
                <w:sz w:val="24"/>
                <w:szCs w:val="24"/>
              </w:rPr>
              <w:t>Взаємодія з органами шкільного самоврядування.</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rFonts w:eastAsia="Lucida Sans Unicode"/>
                <w:b/>
                <w:color w:val="212529"/>
                <w:kern w:val="2"/>
                <w:sz w:val="24"/>
                <w:szCs w:val="24"/>
              </w:rPr>
            </w:pPr>
            <w:r>
              <w:rPr>
                <w:kern w:val="2"/>
                <w:sz w:val="24"/>
                <w:szCs w:val="24"/>
              </w:rPr>
              <w:t xml:space="preserve">Діяльність учнівського самоврядування (участь у діяльності закладу освіти, у тому числі обговоренні питань щодо удосконалення освітнього середовища, у заходах із забезпечення якості освіти та розробленні плану роботи закладу). </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24"/>
                <w:szCs w:val="24"/>
              </w:rPr>
            </w:pPr>
          </w:p>
        </w:tc>
      </w:tr>
      <w:tr w:rsidR="00E16B43" w:rsidTr="00E16B43">
        <w:trPr>
          <w:trHeight w:val="1019"/>
        </w:trPr>
        <w:tc>
          <w:tcPr>
            <w:tcW w:w="623"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rPr>
            </w:pPr>
            <w:r>
              <w:rPr>
                <w:rFonts w:eastAsia="Lucida Sans Unicode"/>
                <w:b/>
                <w:color w:val="212529"/>
                <w:kern w:val="2"/>
              </w:rPr>
              <w:t>36.</w:t>
            </w:r>
          </w:p>
        </w:tc>
        <w:tc>
          <w:tcPr>
            <w:tcW w:w="4588"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24"/>
                <w:szCs w:val="24"/>
              </w:rPr>
            </w:pPr>
            <w:r>
              <w:rPr>
                <w:rFonts w:eastAsia="Lucida Sans Unicode"/>
                <w:b/>
                <w:color w:val="212529"/>
                <w:kern w:val="2"/>
                <w:sz w:val="24"/>
                <w:szCs w:val="24"/>
              </w:rPr>
              <w:t>Взаємодія з батьківською громадою.</w:t>
            </w:r>
          </w:p>
        </w:tc>
        <w:tc>
          <w:tcPr>
            <w:tcW w:w="8931" w:type="dxa"/>
            <w:tcBorders>
              <w:top w:val="single" w:sz="4" w:space="0" w:color="auto"/>
              <w:left w:val="single" w:sz="4" w:space="0" w:color="auto"/>
              <w:bottom w:val="single" w:sz="4" w:space="0" w:color="auto"/>
              <w:right w:val="single" w:sz="4" w:space="0" w:color="auto"/>
            </w:tcBorders>
            <w:hideMark/>
          </w:tcPr>
          <w:p w:rsidR="00E16B43" w:rsidRDefault="00E16B43">
            <w:pPr>
              <w:widowControl w:val="0"/>
              <w:suppressAutoHyphens/>
              <w:autoSpaceDE w:val="0"/>
              <w:autoSpaceDN w:val="0"/>
              <w:adjustRightInd w:val="0"/>
              <w:spacing w:line="256" w:lineRule="auto"/>
              <w:rPr>
                <w:rFonts w:eastAsia="Lucida Sans Unicode"/>
                <w:b/>
                <w:color w:val="212529"/>
                <w:kern w:val="2"/>
                <w:sz w:val="24"/>
                <w:szCs w:val="24"/>
              </w:rPr>
            </w:pPr>
            <w:r>
              <w:rPr>
                <w:kern w:val="2"/>
                <w:sz w:val="24"/>
                <w:szCs w:val="24"/>
              </w:rPr>
              <w:t>Планування  та реалізація заходів, що передбачають конструктивну співпрацю педагогів з батьками учнів. Упровадження різних форм співпраці відбувається, що сприяють налагодженню партнерських взаємин між педагогами закладу освіти та батьками здобувачів освіти. Забезпечення зворотного зв’язку.</w:t>
            </w:r>
          </w:p>
        </w:tc>
        <w:tc>
          <w:tcPr>
            <w:tcW w:w="851" w:type="dxa"/>
            <w:tcBorders>
              <w:top w:val="single" w:sz="4" w:space="0" w:color="auto"/>
              <w:left w:val="single" w:sz="4" w:space="0" w:color="auto"/>
              <w:bottom w:val="single" w:sz="4" w:space="0" w:color="auto"/>
              <w:right w:val="single" w:sz="4" w:space="0" w:color="auto"/>
            </w:tcBorders>
          </w:tcPr>
          <w:p w:rsidR="00E16B43" w:rsidRDefault="00E16B43">
            <w:pPr>
              <w:widowControl w:val="0"/>
              <w:suppressAutoHyphens/>
              <w:autoSpaceDE w:val="0"/>
              <w:autoSpaceDN w:val="0"/>
              <w:adjustRightInd w:val="0"/>
              <w:spacing w:line="256" w:lineRule="auto"/>
              <w:jc w:val="center"/>
              <w:rPr>
                <w:rFonts w:eastAsia="Lucida Sans Unicode"/>
                <w:b/>
                <w:color w:val="212529"/>
                <w:kern w:val="2"/>
                <w:sz w:val="24"/>
                <w:szCs w:val="24"/>
              </w:rPr>
            </w:pPr>
          </w:p>
        </w:tc>
      </w:tr>
    </w:tbl>
    <w:p w:rsidR="00E16B43" w:rsidRDefault="00E16B43" w:rsidP="00E16B43">
      <w:pPr>
        <w:rPr>
          <w:sz w:val="20"/>
          <w:szCs w:val="20"/>
        </w:rPr>
        <w:sectPr w:rsidR="00E16B43">
          <w:pgSz w:w="15840" w:h="12240" w:orient="landscape"/>
          <w:pgMar w:top="851" w:right="1134" w:bottom="1701" w:left="1134" w:header="709" w:footer="709" w:gutter="0"/>
          <w:cols w:space="720"/>
        </w:sectPr>
      </w:pPr>
    </w:p>
    <w:p w:rsidR="006642BC" w:rsidRDefault="006642BC" w:rsidP="00E16B43">
      <w:bookmarkStart w:id="0" w:name="_GoBack"/>
      <w:bookmarkEnd w:id="0"/>
    </w:p>
    <w:sectPr w:rsidR="006642BC" w:rsidSect="00E16B4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F8"/>
    <w:rsid w:val="006642BC"/>
    <w:rsid w:val="00E16B43"/>
    <w:rsid w:val="00F2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8B1A"/>
  <w15:chartTrackingRefBased/>
  <w15:docId w15:val="{68815293-7925-4A9C-BE48-5CEE54C0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43"/>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11951</Characters>
  <Application>Microsoft Office Word</Application>
  <DocSecurity>0</DocSecurity>
  <Lines>99</Lines>
  <Paragraphs>28</Paragraphs>
  <ScaleCrop>false</ScaleCrop>
  <Company>SPecialiST RePack</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2022-02-25T06:34:00Z</dcterms:created>
  <dcterms:modified xsi:type="dcterms:W3CDTF">2022-02-25T06:35:00Z</dcterms:modified>
</cp:coreProperties>
</file>