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C9" w:rsidRDefault="0047333C" w:rsidP="001E70C9">
      <w:pPr>
        <w:tabs>
          <w:tab w:val="left" w:pos="-142"/>
          <w:tab w:val="left" w:pos="567"/>
          <w:tab w:val="left" w:pos="3828"/>
          <w:tab w:val="left" w:pos="4111"/>
          <w:tab w:val="left" w:pos="4678"/>
          <w:tab w:val="left" w:pos="6080"/>
        </w:tabs>
        <w:ind w:right="-7"/>
        <w:jc w:val="center"/>
        <w:rPr>
          <w:lang w:eastAsia="uk-UA"/>
        </w:rPr>
      </w:pPr>
      <w:bookmarkStart w:id="0" w:name="_Hlk97889049"/>
      <w:r>
        <w:rPr>
          <w:lang w:eastAsia="uk-UA"/>
        </w:rPr>
        <w:t xml:space="preserve">До </w:t>
      </w:r>
      <w:bookmarkStart w:id="1" w:name="_GoBack"/>
      <w:bookmarkEnd w:id="1"/>
      <w:r w:rsidR="001E70C9"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28996309" r:id="rId6">
            <o:FieldCodes>\s \* MERGEFORMAT</o:FieldCodes>
          </o:OLEObject>
        </w:object>
      </w:r>
    </w:p>
    <w:p w:rsidR="001E70C9" w:rsidRDefault="001E70C9" w:rsidP="001E70C9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>
        <w:rPr>
          <w:b/>
          <w:bCs/>
          <w:lang w:eastAsia="uk-UA"/>
        </w:rPr>
        <w:t xml:space="preserve">    УКРАЇНА</w:t>
      </w:r>
    </w:p>
    <w:p w:rsidR="001E70C9" w:rsidRDefault="001E70C9" w:rsidP="001E70C9">
      <w:pPr>
        <w:spacing w:line="360" w:lineRule="auto"/>
        <w:jc w:val="center"/>
        <w:rPr>
          <w:bCs/>
          <w:lang w:eastAsia="uk-UA"/>
        </w:rPr>
      </w:pPr>
      <w:r>
        <w:rPr>
          <w:bCs/>
          <w:lang w:val="ru-RU" w:eastAsia="uk-UA"/>
        </w:rPr>
        <w:t xml:space="preserve"> </w:t>
      </w:r>
      <w:r>
        <w:rPr>
          <w:bCs/>
          <w:lang w:eastAsia="uk-UA"/>
        </w:rPr>
        <w:t>ЧЕРНІВЕЦЬКА ОБЛАСНА ДЕРЖАВНА АДМІНІСТРАЦІЯ</w:t>
      </w:r>
    </w:p>
    <w:p w:rsidR="001E70C9" w:rsidRDefault="001E70C9" w:rsidP="001E70C9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 xml:space="preserve"> ЧЕРНІВЕЦЬКА ОБЛАСНА ВІЙСЬКОВА АДМІНІСТРАЦІЯ</w:t>
      </w:r>
    </w:p>
    <w:p w:rsidR="001E70C9" w:rsidRDefault="001E70C9" w:rsidP="001E70C9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1E70C9" w:rsidRDefault="001E70C9" w:rsidP="001E70C9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1E70C9" w:rsidRDefault="001E70C9" w:rsidP="001E70C9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E70C9" w:rsidTr="001E70C9">
        <w:trPr>
          <w:trHeight w:val="157"/>
        </w:trPr>
        <w:tc>
          <w:tcPr>
            <w:tcW w:w="932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1E70C9" w:rsidRDefault="001E70C9">
            <w:pPr>
              <w:jc w:val="center"/>
              <w:rPr>
                <w:b/>
                <w:sz w:val="2"/>
              </w:rPr>
            </w:pPr>
          </w:p>
          <w:p w:rsidR="001E70C9" w:rsidRDefault="001E70C9">
            <w:pPr>
              <w:jc w:val="center"/>
              <w:rPr>
                <w:b/>
                <w:sz w:val="2"/>
              </w:rPr>
            </w:pPr>
          </w:p>
          <w:p w:rsidR="001E70C9" w:rsidRDefault="001E70C9">
            <w:pPr>
              <w:jc w:val="center"/>
              <w:rPr>
                <w:b/>
                <w:sz w:val="2"/>
              </w:rPr>
            </w:pPr>
          </w:p>
        </w:tc>
      </w:tr>
    </w:tbl>
    <w:p w:rsidR="001E70C9" w:rsidRDefault="001E70C9" w:rsidP="001E70C9">
      <w:pPr>
        <w:tabs>
          <w:tab w:val="left" w:pos="8180"/>
          <w:tab w:val="left" w:pos="9356"/>
        </w:tabs>
      </w:pPr>
      <w:r>
        <w:t xml:space="preserve">  </w:t>
      </w:r>
      <w:r w:rsidR="00CC626D">
        <w:t>27.10.2022</w:t>
      </w:r>
      <w:r>
        <w:t xml:space="preserve"> № </w:t>
      </w:r>
      <w:r w:rsidR="00CC626D">
        <w:t>01-34/1920</w:t>
      </w:r>
      <w:r>
        <w:t xml:space="preserve">                На № ____________від ___________</w:t>
      </w:r>
    </w:p>
    <w:bookmarkEnd w:id="0"/>
    <w:p w:rsidR="001E70C9" w:rsidRDefault="001E70C9" w:rsidP="00E26018">
      <w:pPr>
        <w:tabs>
          <w:tab w:val="left" w:pos="9639"/>
        </w:tabs>
        <w:ind w:left="3686" w:right="140"/>
        <w:jc w:val="both"/>
        <w:rPr>
          <w:b/>
        </w:rPr>
      </w:pPr>
      <w:r>
        <w:rPr>
          <w:b/>
        </w:rPr>
        <w:t xml:space="preserve"> </w:t>
      </w:r>
    </w:p>
    <w:p w:rsidR="001E70C9" w:rsidRDefault="001E70C9" w:rsidP="001E70C9">
      <w:pPr>
        <w:tabs>
          <w:tab w:val="left" w:pos="9072"/>
        </w:tabs>
        <w:ind w:left="3969" w:right="-1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:rsidR="001E70C9" w:rsidRDefault="001E70C9" w:rsidP="001E70C9">
      <w:pPr>
        <w:tabs>
          <w:tab w:val="left" w:pos="9072"/>
        </w:tabs>
        <w:ind w:left="3969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1E70C9" w:rsidRDefault="001E70C9" w:rsidP="001E70C9">
      <w:pPr>
        <w:tabs>
          <w:tab w:val="left" w:pos="9072"/>
          <w:tab w:val="left" w:pos="9639"/>
        </w:tabs>
        <w:ind w:left="3969" w:right="-1"/>
        <w:jc w:val="both"/>
        <w:rPr>
          <w:b/>
        </w:rPr>
      </w:pPr>
      <w:r>
        <w:rPr>
          <w:b/>
        </w:rPr>
        <w:t>Керівникам  закладів вищої,  фахової передвищої, професійної (професійно-технічної)   освіти та закладів освіти  обласного підпорядкування</w:t>
      </w:r>
    </w:p>
    <w:p w:rsidR="001E70C9" w:rsidRDefault="001E70C9" w:rsidP="001E70C9">
      <w:pPr>
        <w:tabs>
          <w:tab w:val="left" w:pos="9639"/>
        </w:tabs>
        <w:ind w:left="3686" w:right="140"/>
        <w:jc w:val="both"/>
        <w:rPr>
          <w:b/>
        </w:rPr>
      </w:pPr>
    </w:p>
    <w:p w:rsidR="001E70C9" w:rsidRDefault="001E70C9" w:rsidP="001E70C9">
      <w:pPr>
        <w:ind w:right="4819"/>
        <w:jc w:val="both"/>
        <w:rPr>
          <w:b/>
        </w:rPr>
      </w:pPr>
      <w:r>
        <w:rPr>
          <w:b/>
        </w:rPr>
        <w:t xml:space="preserve">Про рекомендований порядок                                                                                              дій на випадок виникнення загроз                                                                       соціального та воєнного характеру     </w:t>
      </w:r>
    </w:p>
    <w:p w:rsidR="001E70C9" w:rsidRDefault="001E70C9" w:rsidP="001E70C9">
      <w:pPr>
        <w:rPr>
          <w:b/>
        </w:rPr>
      </w:pPr>
    </w:p>
    <w:p w:rsidR="001E70C9" w:rsidRDefault="001E70C9" w:rsidP="001E70C9">
      <w:pPr>
        <w:tabs>
          <w:tab w:val="left" w:pos="567"/>
        </w:tabs>
        <w:jc w:val="both"/>
      </w:pPr>
      <w:r>
        <w:rPr>
          <w:b/>
        </w:rPr>
        <w:tab/>
      </w:r>
      <w:r>
        <w:rPr>
          <w:bCs/>
        </w:rPr>
        <w:t xml:space="preserve">Відповідно </w:t>
      </w:r>
      <w:r w:rsidR="00CC626D">
        <w:rPr>
          <w:bCs/>
        </w:rPr>
        <w:t xml:space="preserve"> </w:t>
      </w:r>
      <w:r>
        <w:rPr>
          <w:bCs/>
        </w:rPr>
        <w:t xml:space="preserve">до листа міністерства освіти і науки України від 25.10.2022 </w:t>
      </w:r>
      <w:r w:rsidR="00CC626D">
        <w:rPr>
          <w:bCs/>
        </w:rPr>
        <w:t xml:space="preserve"> </w:t>
      </w:r>
      <w:r>
        <w:rPr>
          <w:bCs/>
        </w:rPr>
        <w:t>№ 1/12583-22 «Про рекомендований порядок дій на випадок виникнення загроз соціального та воєнного характеру» Департамент освіти і науки обласної державної адміністрації (обласної військової адміністрації) рекомендує використовувати запропоновані Міністерством освіти і науки України</w:t>
      </w:r>
      <w:r w:rsidR="00FD3F36">
        <w:rPr>
          <w:bCs/>
        </w:rPr>
        <w:t xml:space="preserve"> фахові рекомендації, що розроблені та розміщені </w:t>
      </w:r>
      <w:r w:rsidR="00FD3F36">
        <w:t xml:space="preserve">на офіційному </w:t>
      </w:r>
      <w:proofErr w:type="spellStart"/>
      <w:r w:rsidR="00FD3F36">
        <w:t>вебпорталі</w:t>
      </w:r>
      <w:proofErr w:type="spellEnd"/>
      <w:r w:rsidR="00FD3F36">
        <w:t xml:space="preserve"> </w:t>
      </w:r>
      <w:r w:rsidR="00CC626D">
        <w:t xml:space="preserve"> </w:t>
      </w:r>
      <w:r w:rsidR="00FD3F36">
        <w:t xml:space="preserve">ДСНС, </w:t>
      </w:r>
      <w:r w:rsidR="00CC626D">
        <w:t xml:space="preserve"> </w:t>
      </w:r>
      <w:r w:rsidR="00FD3F36">
        <w:t>під час розроблення та затвердження власних інструкцій та порядків в залежності від особливостей діяльності закладу освіти, підприємства, установи або організації.</w:t>
      </w:r>
    </w:p>
    <w:p w:rsidR="00FD3F36" w:rsidRDefault="00FD3F36" w:rsidP="001E70C9">
      <w:pPr>
        <w:tabs>
          <w:tab w:val="left" w:pos="567"/>
        </w:tabs>
        <w:jc w:val="both"/>
      </w:pPr>
      <w:r>
        <w:tab/>
        <w:t xml:space="preserve">Примірний алгоритм дій населення за сигналами оповіщення цивільного захисту (в закладах освіти, у міському транспорті, торговельних закладах) (далі – Примірний алгоритм), доступний за посиланням: </w:t>
      </w:r>
      <w:hyperlink r:id="rId8" w:history="1">
        <w:r w:rsidRPr="003314DC">
          <w:rPr>
            <w:rStyle w:val="a3"/>
          </w:rPr>
          <w:t>https://dsns.gov.ua/uk/metodichni-rekomendaciyi</w:t>
        </w:r>
      </w:hyperlink>
      <w:r>
        <w:t xml:space="preserve">. </w:t>
      </w:r>
    </w:p>
    <w:p w:rsidR="00FD3F36" w:rsidRDefault="00FD3F36" w:rsidP="001E70C9">
      <w:pPr>
        <w:tabs>
          <w:tab w:val="left" w:pos="567"/>
        </w:tabs>
        <w:jc w:val="both"/>
      </w:pPr>
      <w:r>
        <w:tab/>
        <w:t>Разом з цим зазначаємо, що Примірний алгоритм має інформаційний характер та не містить норм права, а також не враховує місцевих особливостей та особливостей організації освітнього процесу у закладах освіти та діяльності підприємств, установ та організацій.</w:t>
      </w:r>
    </w:p>
    <w:p w:rsidR="00FD3F36" w:rsidRDefault="00FD3F36" w:rsidP="001E70C9">
      <w:pPr>
        <w:tabs>
          <w:tab w:val="left" w:pos="567"/>
        </w:tabs>
        <w:jc w:val="both"/>
      </w:pPr>
      <w:r>
        <w:lastRenderedPageBreak/>
        <w:tab/>
        <w:t xml:space="preserve">Крім того, на офіційному </w:t>
      </w:r>
      <w:proofErr w:type="spellStart"/>
      <w:r>
        <w:t>вебпорталі</w:t>
      </w:r>
      <w:proofErr w:type="spellEnd"/>
      <w:r>
        <w:t xml:space="preserve"> ДСНС за посиланням: </w:t>
      </w:r>
      <w:hyperlink r:id="rId9" w:history="1">
        <w:r w:rsidRPr="003314DC">
          <w:rPr>
            <w:rStyle w:val="a3"/>
          </w:rPr>
          <w:t>https://dsns.gov.ua/uk/abetka-bezpeki</w:t>
        </w:r>
      </w:hyperlink>
      <w:r>
        <w:t xml:space="preserve">  розміщено методичні матеріали за напрямом діяльності ДСНС (далі – методичні матеріали).</w:t>
      </w:r>
    </w:p>
    <w:p w:rsidR="00FD3F36" w:rsidRDefault="00FD3F36" w:rsidP="001E70C9">
      <w:pPr>
        <w:tabs>
          <w:tab w:val="left" w:pos="567"/>
        </w:tabs>
        <w:jc w:val="both"/>
      </w:pPr>
      <w:r>
        <w:tab/>
        <w:t>Розроблені ДСНС Примірний алгоритм та методичні матеріали можуть бути використані закладами освіти, підприємствами, установами або організаціями при розробленні плануючих документів з питань цивільного захисту, передбачених статтею 130 Кодексу цивільного захисту України, з урахуванням місцевих особливостей, а також особливостей організації освітнього процесу у закладах освіти, діяльності підприємства, установи або організації.</w:t>
      </w:r>
    </w:p>
    <w:p w:rsidR="00FD3F36" w:rsidRDefault="00FD3F36" w:rsidP="001E70C9">
      <w:pPr>
        <w:tabs>
          <w:tab w:val="left" w:pos="567"/>
        </w:tabs>
        <w:jc w:val="both"/>
      </w:pPr>
      <w:r>
        <w:tab/>
        <w:t xml:space="preserve">Відповідно до статті 17 Кодексу цивільного захисту України ДСНС виконує </w:t>
      </w:r>
      <w:r w:rsidR="00CC626D">
        <w:t xml:space="preserve"> </w:t>
      </w:r>
      <w:r>
        <w:t xml:space="preserve">піротехнічні </w:t>
      </w:r>
      <w:r w:rsidR="00CC626D">
        <w:t xml:space="preserve"> </w:t>
      </w:r>
      <w:r>
        <w:t>роботи, пов’язані зі знешкодженням вибухонебезпечних предметів, що залишилися на території України після воєн, сучасних боєприпасів та підривних засобів (крім вибухових пристроїв, що використовуються в терористичних цілях).</w:t>
      </w:r>
    </w:p>
    <w:p w:rsidR="00FD3F36" w:rsidRDefault="00FD3F36" w:rsidP="001E70C9">
      <w:pPr>
        <w:tabs>
          <w:tab w:val="left" w:pos="567"/>
        </w:tabs>
        <w:jc w:val="both"/>
      </w:pPr>
      <w:r>
        <w:rPr>
          <w:bCs/>
        </w:rPr>
        <w:tab/>
      </w:r>
      <w:r>
        <w:t xml:space="preserve">Водночас здійснення заходів щодо реагування на заяви та повідомлення про кримінальні, адміністративні правопорушення або події, у тому числі повідомлення про підготовку вибуху, підпалу або інших дій, які загрожують загибеллю </w:t>
      </w:r>
      <w:r w:rsidR="00CC626D">
        <w:t xml:space="preserve"> </w:t>
      </w:r>
      <w:r>
        <w:t xml:space="preserve">людей, знищенням чи пошкодженням об’єктів власності відповідно до Закону України «Про національну поліцію» та наказу МВС від 07.07.2017 № 575 </w:t>
      </w:r>
      <w:r w:rsidR="00CC626D">
        <w:t xml:space="preserve">  </w:t>
      </w:r>
      <w:r>
        <w:t>«Про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правопорушенням, їх виявленні та розслідуванні», зареєстрованого в Міністерстві юстиції України від 31 липня 2017 р. за № 937/30805, належить до повноважень Національної поліції України.</w:t>
      </w:r>
    </w:p>
    <w:p w:rsidR="00FD3F36" w:rsidRDefault="00FD3F36" w:rsidP="001E70C9">
      <w:pPr>
        <w:tabs>
          <w:tab w:val="left" w:pos="567"/>
        </w:tabs>
        <w:jc w:val="both"/>
      </w:pPr>
      <w:r>
        <w:tab/>
        <w:t>Крім того, зазначаємо, що  Міністерство з питань реінтеграції тимчасово окупованих територій України спрямовує та бере участь у проваджені протимінної діяльності у взаємодії з Національним органом з питань протимінної діяльності, центром протимінної діяльності та центром гуманітарного розмінування, а також забезпечує координацію та здійснює заходи з інформування населення щодо ризиків, пов’язаних із вибухонебезпечними предметами.</w:t>
      </w:r>
    </w:p>
    <w:p w:rsidR="00FD3F36" w:rsidRDefault="00FD3F36" w:rsidP="001E70C9">
      <w:pPr>
        <w:tabs>
          <w:tab w:val="left" w:pos="567"/>
        </w:tabs>
        <w:jc w:val="both"/>
      </w:pPr>
      <w:r>
        <w:tab/>
        <w:t xml:space="preserve">Департамент </w:t>
      </w:r>
      <w:r w:rsidR="00E26018">
        <w:t>освіти і науки обласної державної адміністрації (обласної військової адміністрації) інформує, що в</w:t>
      </w:r>
      <w:r>
        <w:t>ідповідно до частини другої статті 19 Конституції України органи державної влади, їх посадові особи зобов’язані діяти лише на підставі, в межах повноважень та у спосіб, що передбачені Конституцією та законами України.</w:t>
      </w:r>
    </w:p>
    <w:p w:rsidR="00E26018" w:rsidRDefault="00E26018" w:rsidP="001E70C9">
      <w:pPr>
        <w:tabs>
          <w:tab w:val="left" w:pos="567"/>
        </w:tabs>
        <w:jc w:val="both"/>
        <w:rPr>
          <w:bCs/>
        </w:rPr>
      </w:pPr>
    </w:p>
    <w:p w:rsidR="001E70C9" w:rsidRDefault="001E70C9" w:rsidP="001E70C9">
      <w:pPr>
        <w:jc w:val="both"/>
        <w:rPr>
          <w:b/>
        </w:rPr>
      </w:pPr>
    </w:p>
    <w:p w:rsidR="001E70C9" w:rsidRDefault="001E70C9" w:rsidP="001E70C9">
      <w:pPr>
        <w:rPr>
          <w:b/>
        </w:rPr>
      </w:pPr>
    </w:p>
    <w:p w:rsidR="001E70C9" w:rsidRDefault="00E26018" w:rsidP="001E70C9">
      <w:pPr>
        <w:rPr>
          <w:b/>
          <w:bCs/>
        </w:rPr>
      </w:pPr>
      <w:r>
        <w:rPr>
          <w:b/>
          <w:bCs/>
        </w:rPr>
        <w:t>В.о. д</w:t>
      </w:r>
      <w:r w:rsidR="001E70C9">
        <w:rPr>
          <w:b/>
          <w:bCs/>
        </w:rPr>
        <w:t>иректор</w:t>
      </w:r>
      <w:r>
        <w:rPr>
          <w:b/>
          <w:bCs/>
        </w:rPr>
        <w:t>а</w:t>
      </w:r>
      <w:r w:rsidR="001E70C9">
        <w:rPr>
          <w:b/>
          <w:bCs/>
        </w:rPr>
        <w:t xml:space="preserve">  Департаменту                                          Оксана </w:t>
      </w:r>
      <w:r>
        <w:rPr>
          <w:b/>
          <w:bCs/>
        </w:rPr>
        <w:t>ГРИНЮК</w:t>
      </w:r>
    </w:p>
    <w:p w:rsidR="001E70C9" w:rsidRDefault="001E70C9" w:rsidP="001E70C9">
      <w:pPr>
        <w:spacing w:line="276" w:lineRule="auto"/>
        <w:rPr>
          <w:b/>
          <w:bCs/>
          <w:color w:val="000000"/>
        </w:rPr>
      </w:pPr>
    </w:p>
    <w:p w:rsidR="001E70C9" w:rsidRDefault="001E70C9" w:rsidP="001E70C9">
      <w:pPr>
        <w:jc w:val="both"/>
        <w:rPr>
          <w:sz w:val="20"/>
          <w:szCs w:val="20"/>
        </w:rPr>
      </w:pPr>
      <w:r>
        <w:rPr>
          <w:sz w:val="20"/>
          <w:szCs w:val="20"/>
        </w:rPr>
        <w:t>Світлана ПРІНЬКО</w:t>
      </w:r>
    </w:p>
    <w:p w:rsidR="001E70C9" w:rsidRDefault="001E70C9" w:rsidP="001E70C9">
      <w:pPr>
        <w:jc w:val="both"/>
        <w:rPr>
          <w:sz w:val="20"/>
          <w:szCs w:val="20"/>
        </w:rPr>
      </w:pPr>
      <w:r>
        <w:rPr>
          <w:sz w:val="20"/>
          <w:szCs w:val="20"/>
        </w:rPr>
        <w:t>Степан ЩЕРБАНОВИЧ  55-08-10</w:t>
      </w:r>
    </w:p>
    <w:sectPr w:rsidR="001E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C9"/>
    <w:rsid w:val="001E70C9"/>
    <w:rsid w:val="00271EB3"/>
    <w:rsid w:val="0027490F"/>
    <w:rsid w:val="0047333C"/>
    <w:rsid w:val="00CC626D"/>
    <w:rsid w:val="00E26018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C9"/>
    <w:pPr>
      <w:ind w:right="0"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0C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3F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C9"/>
    <w:pPr>
      <w:ind w:right="0"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0C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3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ns.gov.ua/uk/metodichni-rekomendaciy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sns.gov.ua/uk/abetka-bezpek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Admin</cp:lastModifiedBy>
  <cp:revision>2</cp:revision>
  <dcterms:created xsi:type="dcterms:W3CDTF">2022-11-03T13:59:00Z</dcterms:created>
  <dcterms:modified xsi:type="dcterms:W3CDTF">2022-11-03T13:59:00Z</dcterms:modified>
</cp:coreProperties>
</file>