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68" w:rsidRPr="00C77E68" w:rsidRDefault="00C77E68" w:rsidP="00C77E68">
      <w:pPr>
        <w:ind w:left="10773"/>
        <w:jc w:val="both"/>
        <w:rPr>
          <w:i/>
        </w:rPr>
      </w:pPr>
      <w:bookmarkStart w:id="0" w:name="_GoBack"/>
      <w:r w:rsidRPr="00C77E68">
        <w:rPr>
          <w:i/>
        </w:rPr>
        <w:t>Додаток до листа</w:t>
      </w:r>
    </w:p>
    <w:p w:rsidR="00C77E68" w:rsidRPr="00C77E68" w:rsidRDefault="00C77E68" w:rsidP="00C77E68">
      <w:pPr>
        <w:ind w:left="10773"/>
        <w:jc w:val="both"/>
        <w:rPr>
          <w:i/>
        </w:rPr>
      </w:pPr>
      <w:r w:rsidRPr="00C77E68">
        <w:rPr>
          <w:i/>
        </w:rPr>
        <w:t xml:space="preserve">Управління освіти </w:t>
      </w:r>
    </w:p>
    <w:p w:rsidR="00C77E68" w:rsidRPr="00C77E68" w:rsidRDefault="00C77E68" w:rsidP="00C77E68">
      <w:pPr>
        <w:ind w:left="10773"/>
        <w:jc w:val="both"/>
        <w:rPr>
          <w:i/>
        </w:rPr>
      </w:pPr>
      <w:r w:rsidRPr="00C77E68">
        <w:rPr>
          <w:i/>
        </w:rPr>
        <w:t>Чернівецької міської ради</w:t>
      </w:r>
    </w:p>
    <w:p w:rsidR="00C77E68" w:rsidRPr="00C77E68" w:rsidRDefault="00C77E68" w:rsidP="00C77E68">
      <w:pPr>
        <w:ind w:left="10773"/>
        <w:jc w:val="both"/>
        <w:rPr>
          <w:rFonts w:eastAsia="Times New Roman" w:cs="Times New Roman"/>
          <w:i/>
          <w:color w:val="000000"/>
          <w:szCs w:val="28"/>
          <w:lang w:eastAsia="uk-UA"/>
        </w:rPr>
      </w:pPr>
      <w:r w:rsidRPr="00C77E68">
        <w:rPr>
          <w:i/>
        </w:rPr>
        <w:t>від 26</w:t>
      </w:r>
      <w:r w:rsidRPr="00C77E68">
        <w:rPr>
          <w:rFonts w:eastAsia="Times New Roman"/>
          <w:i/>
          <w:szCs w:val="28"/>
          <w:lang w:eastAsia="ru-RU"/>
        </w:rPr>
        <w:t>.01.2023 №01-34/170</w:t>
      </w:r>
      <w:r w:rsidRPr="00C77E68">
        <w:rPr>
          <w:rFonts w:eastAsia="Times New Roman"/>
          <w:i/>
          <w:szCs w:val="28"/>
          <w:lang w:eastAsia="ru-RU"/>
        </w:rPr>
        <w:t xml:space="preserve"> </w:t>
      </w:r>
    </w:p>
    <w:bookmarkEnd w:id="0"/>
    <w:p w:rsidR="00C77E68" w:rsidRDefault="00C77E68" w:rsidP="00C77E68">
      <w:pPr>
        <w:ind w:left="10773"/>
        <w:jc w:val="both"/>
        <w:rPr>
          <w:rFonts w:eastAsia="Times New Roman" w:cs="Times New Roman"/>
          <w:color w:val="000000"/>
          <w:szCs w:val="28"/>
          <w:lang w:eastAsia="uk-UA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668"/>
        <w:gridCol w:w="2631"/>
        <w:gridCol w:w="2125"/>
        <w:gridCol w:w="3237"/>
        <w:gridCol w:w="4643"/>
      </w:tblGrid>
      <w:tr w:rsidR="00C77E68" w:rsidTr="004E307D">
        <w:tc>
          <w:tcPr>
            <w:tcW w:w="2668" w:type="dxa"/>
          </w:tcPr>
          <w:p w:rsidR="00C77E68" w:rsidRDefault="00C77E68" w:rsidP="004E307D">
            <w:r>
              <w:t xml:space="preserve">Найменування завдання </w:t>
            </w:r>
          </w:p>
        </w:tc>
        <w:tc>
          <w:tcPr>
            <w:tcW w:w="2631" w:type="dxa"/>
          </w:tcPr>
          <w:p w:rsidR="00C77E68" w:rsidRDefault="00C77E68" w:rsidP="004E307D">
            <w:r>
              <w:t>Найменування показника</w:t>
            </w:r>
          </w:p>
        </w:tc>
        <w:tc>
          <w:tcPr>
            <w:tcW w:w="2125" w:type="dxa"/>
          </w:tcPr>
          <w:p w:rsidR="00C77E68" w:rsidRDefault="00C77E68" w:rsidP="004E307D">
            <w:r>
              <w:t>Зазначення показника у 2022 році</w:t>
            </w:r>
          </w:p>
        </w:tc>
        <w:tc>
          <w:tcPr>
            <w:tcW w:w="3237" w:type="dxa"/>
          </w:tcPr>
          <w:p w:rsidR="00C77E68" w:rsidRDefault="00C77E68" w:rsidP="004E307D">
            <w:r>
              <w:t>Найменування заходу</w:t>
            </w:r>
          </w:p>
        </w:tc>
        <w:tc>
          <w:tcPr>
            <w:tcW w:w="4643" w:type="dxa"/>
          </w:tcPr>
          <w:p w:rsidR="00C77E68" w:rsidRDefault="00C77E68" w:rsidP="004E307D">
            <w:r>
              <w:t>Інформація про проведені заходи</w:t>
            </w:r>
          </w:p>
        </w:tc>
      </w:tr>
      <w:tr w:rsidR="00C77E68" w:rsidTr="004E307D">
        <w:tc>
          <w:tcPr>
            <w:tcW w:w="15304" w:type="dxa"/>
            <w:gridSpan w:val="5"/>
          </w:tcPr>
          <w:p w:rsidR="00C77E68" w:rsidRDefault="00C77E68" w:rsidP="004E307D">
            <w:r>
              <w:t>Оперативна ціль 3.3. Забезпечено рівний доступ дівчат і хлопців, жінок і чоловіків до освіти та професійного навчання</w:t>
            </w:r>
          </w:p>
        </w:tc>
      </w:tr>
      <w:tr w:rsidR="00C77E68" w:rsidTr="004E307D">
        <w:tc>
          <w:tcPr>
            <w:tcW w:w="2668" w:type="dxa"/>
          </w:tcPr>
          <w:p w:rsidR="00C77E68" w:rsidRDefault="00C77E68" w:rsidP="004E307D">
            <w:r>
              <w:t>27. Забезпечення інтеграції гендерних підходів до планування, реалізації та моніторингу державної політики у сфері освіти, зокрема включення гендерної складової до стандартів вищої, професійної (професійно-технічної) освіти за всіма спеціальностями, а також базової середньої освіти</w:t>
            </w:r>
          </w:p>
        </w:tc>
        <w:tc>
          <w:tcPr>
            <w:tcW w:w="2631" w:type="dxa"/>
          </w:tcPr>
          <w:p w:rsidR="00C77E68" w:rsidRDefault="00C77E68" w:rsidP="004E307D">
            <w:r>
              <w:t>кількість</w:t>
            </w:r>
          </w:p>
          <w:p w:rsidR="00C77E68" w:rsidRDefault="00C77E68" w:rsidP="004E307D">
            <w:r>
              <w:t>підготовлених</w:t>
            </w:r>
          </w:p>
          <w:p w:rsidR="00C77E68" w:rsidRDefault="00C77E68" w:rsidP="004E307D">
            <w:r>
              <w:t>інформаційно-аналітичних довідок</w:t>
            </w:r>
          </w:p>
          <w:p w:rsidR="00C77E68" w:rsidRDefault="00C77E68" w:rsidP="004E307D">
            <w:r>
              <w:t>щодо гендерних</w:t>
            </w:r>
          </w:p>
          <w:p w:rsidR="00C77E68" w:rsidRDefault="00C77E68" w:rsidP="004E307D">
            <w:r>
              <w:t>диспропорцій</w:t>
            </w:r>
          </w:p>
        </w:tc>
        <w:tc>
          <w:tcPr>
            <w:tcW w:w="2125" w:type="dxa"/>
          </w:tcPr>
          <w:p w:rsidR="00C77E68" w:rsidRDefault="00C77E68" w:rsidP="004E307D"/>
        </w:tc>
        <w:tc>
          <w:tcPr>
            <w:tcW w:w="3237" w:type="dxa"/>
          </w:tcPr>
          <w:p w:rsidR="00C77E68" w:rsidRDefault="00C77E68" w:rsidP="004E307D">
            <w:r>
              <w:t>4) проведення аналізу гендерних диспропорцій в освіті на предмет контингенту учнів/слухачів/студентів, викладачів/вчителів, керівників закладів освіти за напрямами освіти, спеціальностями, формою здобуття освіти</w:t>
            </w:r>
          </w:p>
        </w:tc>
        <w:tc>
          <w:tcPr>
            <w:tcW w:w="4643" w:type="dxa"/>
          </w:tcPr>
          <w:p w:rsidR="00C77E68" w:rsidRDefault="00C77E68" w:rsidP="004E307D"/>
        </w:tc>
      </w:tr>
      <w:tr w:rsidR="00C77E68" w:rsidTr="004E307D">
        <w:tc>
          <w:tcPr>
            <w:tcW w:w="2668" w:type="dxa"/>
          </w:tcPr>
          <w:p w:rsidR="00C77E68" w:rsidRDefault="00C77E68" w:rsidP="004E307D">
            <w:r>
              <w:t xml:space="preserve">28. Формування культури гендерної </w:t>
            </w:r>
            <w:r>
              <w:lastRenderedPageBreak/>
              <w:t>рівності серед представників академічної спільноти, зокрема шляхом навчання педагогічних працівників</w:t>
            </w:r>
          </w:p>
        </w:tc>
        <w:tc>
          <w:tcPr>
            <w:tcW w:w="2631" w:type="dxa"/>
          </w:tcPr>
          <w:p w:rsidR="00C77E68" w:rsidRDefault="00C77E68" w:rsidP="004E307D">
            <w:r>
              <w:lastRenderedPageBreak/>
              <w:t xml:space="preserve">кількість педагогічних </w:t>
            </w:r>
            <w:r>
              <w:lastRenderedPageBreak/>
              <w:t>працівників, які пройшли сертифіковане навчання з питань гендерної рівності, осіб</w:t>
            </w:r>
          </w:p>
        </w:tc>
        <w:tc>
          <w:tcPr>
            <w:tcW w:w="2125" w:type="dxa"/>
          </w:tcPr>
          <w:p w:rsidR="00C77E68" w:rsidRDefault="00C77E68" w:rsidP="004E307D"/>
        </w:tc>
        <w:tc>
          <w:tcPr>
            <w:tcW w:w="3237" w:type="dxa"/>
          </w:tcPr>
          <w:p w:rsidR="00C77E68" w:rsidRDefault="00C77E68" w:rsidP="004E307D">
            <w:r>
              <w:t xml:space="preserve">1) організація проведення навчань з </w:t>
            </w:r>
            <w:r>
              <w:lastRenderedPageBreak/>
              <w:t>питань забезпечення рівних прав та можливостей жінок і чоловіків, запобігання та протидії дискримінації та насильству за ознакою статі для педагогічних працівників</w:t>
            </w:r>
          </w:p>
        </w:tc>
        <w:tc>
          <w:tcPr>
            <w:tcW w:w="4643" w:type="dxa"/>
          </w:tcPr>
          <w:p w:rsidR="00C77E68" w:rsidRDefault="00C77E68" w:rsidP="004E307D"/>
        </w:tc>
      </w:tr>
      <w:tr w:rsidR="00C77E68" w:rsidTr="004E307D">
        <w:tc>
          <w:tcPr>
            <w:tcW w:w="2668" w:type="dxa"/>
          </w:tcPr>
          <w:p w:rsidR="00C77E68" w:rsidRDefault="00C77E68" w:rsidP="004E307D"/>
        </w:tc>
        <w:tc>
          <w:tcPr>
            <w:tcW w:w="2631" w:type="dxa"/>
          </w:tcPr>
          <w:p w:rsidR="00C77E68" w:rsidRDefault="00C77E68" w:rsidP="004E307D">
            <w:r>
              <w:t>кількість педагогічних працівників, які пройшли сертифіковане навчання з питань запобігання та протидії дискримінації, осіб</w:t>
            </w:r>
          </w:p>
        </w:tc>
        <w:tc>
          <w:tcPr>
            <w:tcW w:w="2125" w:type="dxa"/>
          </w:tcPr>
          <w:p w:rsidR="00C77E68" w:rsidRDefault="00C77E68" w:rsidP="004E307D"/>
        </w:tc>
        <w:tc>
          <w:tcPr>
            <w:tcW w:w="3237" w:type="dxa"/>
          </w:tcPr>
          <w:p w:rsidR="00C77E68" w:rsidRDefault="00C77E68" w:rsidP="004E307D"/>
        </w:tc>
        <w:tc>
          <w:tcPr>
            <w:tcW w:w="4643" w:type="dxa"/>
          </w:tcPr>
          <w:p w:rsidR="00C77E68" w:rsidRDefault="00C77E68" w:rsidP="004E307D"/>
        </w:tc>
      </w:tr>
      <w:tr w:rsidR="00C77E68" w:rsidTr="004E307D">
        <w:tc>
          <w:tcPr>
            <w:tcW w:w="2668" w:type="dxa"/>
          </w:tcPr>
          <w:p w:rsidR="00C77E68" w:rsidRDefault="00C77E68" w:rsidP="004E307D"/>
        </w:tc>
        <w:tc>
          <w:tcPr>
            <w:tcW w:w="2631" w:type="dxa"/>
          </w:tcPr>
          <w:p w:rsidR="00C77E68" w:rsidRDefault="00C77E68" w:rsidP="004E307D">
            <w:r>
              <w:t>кількість педагогічних працівників, які пройшли сертифіковане навчання з питань запобігання та протидії насильству за ознакою статі, осіб</w:t>
            </w:r>
          </w:p>
        </w:tc>
        <w:tc>
          <w:tcPr>
            <w:tcW w:w="2125" w:type="dxa"/>
          </w:tcPr>
          <w:p w:rsidR="00C77E68" w:rsidRDefault="00C77E68" w:rsidP="004E307D"/>
        </w:tc>
        <w:tc>
          <w:tcPr>
            <w:tcW w:w="3237" w:type="dxa"/>
          </w:tcPr>
          <w:p w:rsidR="00C77E68" w:rsidRDefault="00C77E68" w:rsidP="004E307D"/>
        </w:tc>
        <w:tc>
          <w:tcPr>
            <w:tcW w:w="4643" w:type="dxa"/>
          </w:tcPr>
          <w:p w:rsidR="00C77E68" w:rsidRDefault="00C77E68" w:rsidP="004E307D"/>
        </w:tc>
      </w:tr>
      <w:tr w:rsidR="00C77E68" w:rsidTr="004E307D">
        <w:tc>
          <w:tcPr>
            <w:tcW w:w="2668" w:type="dxa"/>
          </w:tcPr>
          <w:p w:rsidR="00C77E68" w:rsidRDefault="00C77E68" w:rsidP="004E307D">
            <w:r>
              <w:t xml:space="preserve">30. Створення умов </w:t>
            </w:r>
            <w:r>
              <w:lastRenderedPageBreak/>
              <w:t>для зменшення впливу гендерних стереотипів на вибір майбутньої професії дівчатами та хлопцями, зокрема шляхом розширення можливостей дівчат здобувати STEM-освіту, використання однакових за змістом освітніх програм з усіх предметів, вжиття позитивних дій, спрямованих на збільшення кількості дівчат, які навчаються за спеціальностями, найбільш затребуваними на ринку праці, а також залучення чоловіків до професії шкільного вчителя</w:t>
            </w:r>
          </w:p>
        </w:tc>
        <w:tc>
          <w:tcPr>
            <w:tcW w:w="2631" w:type="dxa"/>
          </w:tcPr>
          <w:p w:rsidR="00C77E68" w:rsidRDefault="00C77E68" w:rsidP="004E307D">
            <w:r>
              <w:lastRenderedPageBreak/>
              <w:t xml:space="preserve">кількість </w:t>
            </w:r>
            <w:r>
              <w:lastRenderedPageBreak/>
              <w:t>проведених профорієнтаційних заходів</w:t>
            </w:r>
          </w:p>
        </w:tc>
        <w:tc>
          <w:tcPr>
            <w:tcW w:w="2125" w:type="dxa"/>
          </w:tcPr>
          <w:p w:rsidR="00C77E68" w:rsidRDefault="00C77E68" w:rsidP="004E307D"/>
        </w:tc>
        <w:tc>
          <w:tcPr>
            <w:tcW w:w="3237" w:type="dxa"/>
          </w:tcPr>
          <w:p w:rsidR="00C77E68" w:rsidRDefault="00C77E68" w:rsidP="004E307D">
            <w:r>
              <w:t xml:space="preserve">1) проведення </w:t>
            </w:r>
            <w:r>
              <w:lastRenderedPageBreak/>
              <w:t xml:space="preserve">профорієнтаційної роботи у закладах загальної середньої освіти під час обрання професій, заохочення дівчат навчатися за STEM-спеціальностями, хлопців за спеціальностями “Освітні, педагогічні </w:t>
            </w:r>
            <w:proofErr w:type="spellStart"/>
            <w:r>
              <w:t>наукиˮ</w:t>
            </w:r>
            <w:proofErr w:type="spellEnd"/>
            <w:r>
              <w:t xml:space="preserve">, “Соціальна </w:t>
            </w:r>
            <w:proofErr w:type="spellStart"/>
            <w:r>
              <w:t>роботаˮ</w:t>
            </w:r>
            <w:proofErr w:type="spellEnd"/>
            <w:r>
              <w:t>, “</w:t>
            </w:r>
            <w:proofErr w:type="spellStart"/>
            <w:r>
              <w:t>Психологіяˮ</w:t>
            </w:r>
            <w:proofErr w:type="spellEnd"/>
            <w:r>
              <w:t xml:space="preserve"> та поширення кращих практик такої роботи</w:t>
            </w:r>
          </w:p>
        </w:tc>
        <w:tc>
          <w:tcPr>
            <w:tcW w:w="4643" w:type="dxa"/>
          </w:tcPr>
          <w:p w:rsidR="00C77E68" w:rsidRDefault="00C77E68" w:rsidP="004E307D"/>
        </w:tc>
      </w:tr>
      <w:tr w:rsidR="00C77E68" w:rsidTr="004E307D">
        <w:tc>
          <w:tcPr>
            <w:tcW w:w="2668" w:type="dxa"/>
          </w:tcPr>
          <w:p w:rsidR="00C77E68" w:rsidRDefault="00C77E68" w:rsidP="004E307D"/>
        </w:tc>
        <w:tc>
          <w:tcPr>
            <w:tcW w:w="2631" w:type="dxa"/>
          </w:tcPr>
          <w:p w:rsidR="00C77E68" w:rsidRDefault="00C77E68" w:rsidP="004E307D">
            <w:r>
              <w:t>відсоток закладів освіти, які використовують однакові за змістом освітні програми для дівчат і хлопців</w:t>
            </w:r>
          </w:p>
        </w:tc>
        <w:tc>
          <w:tcPr>
            <w:tcW w:w="2125" w:type="dxa"/>
          </w:tcPr>
          <w:p w:rsidR="00C77E68" w:rsidRDefault="00C77E68" w:rsidP="004E307D"/>
        </w:tc>
        <w:tc>
          <w:tcPr>
            <w:tcW w:w="3237" w:type="dxa"/>
          </w:tcPr>
          <w:p w:rsidR="00C77E68" w:rsidRDefault="00C77E68" w:rsidP="004E307D">
            <w:r>
              <w:t>2) забезпечення використання однакових за змістом освітніх програм з усіх предметів для дівчат і хлопців, зокрема з трудового навчання, фізичної культури</w:t>
            </w:r>
          </w:p>
        </w:tc>
        <w:tc>
          <w:tcPr>
            <w:tcW w:w="4643" w:type="dxa"/>
          </w:tcPr>
          <w:p w:rsidR="00C77E68" w:rsidRDefault="00C77E68" w:rsidP="004E307D"/>
        </w:tc>
      </w:tr>
      <w:tr w:rsidR="00C77E68" w:rsidTr="004E307D">
        <w:tc>
          <w:tcPr>
            <w:tcW w:w="2668" w:type="dxa"/>
          </w:tcPr>
          <w:p w:rsidR="00C77E68" w:rsidRDefault="00C77E68" w:rsidP="004E307D">
            <w:r>
              <w:t>31. Забезпечення розширення доступу до навчання протягом життя, особливо для жінок, які проживають у сільській місцевості, жінок похилого віку, жінок інших категорій, які зазнають множинної дискримінації</w:t>
            </w:r>
          </w:p>
        </w:tc>
        <w:tc>
          <w:tcPr>
            <w:tcW w:w="2631" w:type="dxa"/>
          </w:tcPr>
          <w:p w:rsidR="00C77E68" w:rsidRDefault="00C77E68" w:rsidP="004E307D">
            <w:r>
              <w:t xml:space="preserve">кількість проведених опитувань з рекомендаціями щодо потреб у здобутті формальної, неформальної та </w:t>
            </w:r>
            <w:proofErr w:type="spellStart"/>
            <w:r>
              <w:t>інформальної</w:t>
            </w:r>
            <w:proofErr w:type="spellEnd"/>
            <w:r>
              <w:t xml:space="preserve"> освіти, професійної підготовки різних вікових груп жінок і чоловіків, одиниць</w:t>
            </w:r>
          </w:p>
        </w:tc>
        <w:tc>
          <w:tcPr>
            <w:tcW w:w="2125" w:type="dxa"/>
          </w:tcPr>
          <w:p w:rsidR="00C77E68" w:rsidRDefault="00C77E68" w:rsidP="004E307D"/>
        </w:tc>
        <w:tc>
          <w:tcPr>
            <w:tcW w:w="3237" w:type="dxa"/>
          </w:tcPr>
          <w:p w:rsidR="00C77E68" w:rsidRDefault="00C77E68" w:rsidP="004E307D">
            <w:r>
              <w:t xml:space="preserve">1) проведення опитувань щодо потреб у здобутті формальної, неформальної та </w:t>
            </w:r>
            <w:proofErr w:type="spellStart"/>
            <w:r>
              <w:t>інформальної</w:t>
            </w:r>
            <w:proofErr w:type="spellEnd"/>
            <w:r>
              <w:t xml:space="preserve"> освіти, професійної підготовки різних вікових груп жінок і чоловіків, зокрема </w:t>
            </w:r>
            <w:proofErr w:type="spellStart"/>
            <w:r>
              <w:t>жінокфермерів</w:t>
            </w:r>
            <w:proofErr w:type="spellEnd"/>
            <w:r>
              <w:t xml:space="preserve"> або жінок, які проживають у сільській місцевості та мають наміри розвивати сільське господарство, а також жінок і чоловіків похилого віку, з числа внутрішньо переміщених осіб, ветеранів антитерористичної операції/ </w:t>
            </w:r>
            <w:proofErr w:type="spellStart"/>
            <w:r>
              <w:t>операції</w:t>
            </w:r>
            <w:proofErr w:type="spellEnd"/>
            <w:r>
              <w:t xml:space="preserve"> </w:t>
            </w:r>
            <w:r>
              <w:lastRenderedPageBreak/>
              <w:t>Об’єднаних сил та сприяння у здобутті такої освіти</w:t>
            </w:r>
          </w:p>
        </w:tc>
        <w:tc>
          <w:tcPr>
            <w:tcW w:w="4643" w:type="dxa"/>
          </w:tcPr>
          <w:p w:rsidR="00C77E68" w:rsidRDefault="00C77E68" w:rsidP="004E307D"/>
        </w:tc>
      </w:tr>
    </w:tbl>
    <w:p w:rsidR="00C77E68" w:rsidRDefault="00C77E68" w:rsidP="00C77E68"/>
    <w:p w:rsidR="00D57BEC" w:rsidRDefault="00D57BEC"/>
    <w:sectPr w:rsidR="00D57BEC" w:rsidSect="00F06E0C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D3"/>
    <w:rsid w:val="007328D3"/>
    <w:rsid w:val="00C77E68"/>
    <w:rsid w:val="00D5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6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6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2254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2023-01-27T09:21:00Z</dcterms:created>
  <dcterms:modified xsi:type="dcterms:W3CDTF">2023-01-27T09:23:00Z</dcterms:modified>
</cp:coreProperties>
</file>