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D88" w:rsidRDefault="004D6D88" w:rsidP="008F21C3">
      <w:pPr>
        <w:spacing w:line="276" w:lineRule="auto"/>
        <w:jc w:val="both"/>
      </w:pPr>
    </w:p>
    <w:p w:rsidR="008B455E" w:rsidRDefault="008F21C3" w:rsidP="008B455E">
      <w:pPr>
        <w:ind w:left="5245"/>
        <w:rPr>
          <w:b/>
        </w:rPr>
      </w:pPr>
      <w:r>
        <w:t xml:space="preserve">Додаток до листа Департаменту освіти і науки  ОДА (ОВА)                           </w:t>
      </w:r>
      <w:r w:rsidR="004D6D88">
        <w:t>06.01.2023</w:t>
      </w:r>
      <w:r>
        <w:t xml:space="preserve"> № </w:t>
      </w:r>
      <w:r w:rsidR="004D6D88">
        <w:t>01-34/40</w:t>
      </w:r>
      <w:r>
        <w:rPr>
          <w:b/>
        </w:rPr>
        <w:t xml:space="preserve"> </w:t>
      </w:r>
    </w:p>
    <w:p w:rsidR="008B455E" w:rsidRDefault="008B455E" w:rsidP="008B455E">
      <w:pPr>
        <w:ind w:left="5245"/>
        <w:rPr>
          <w:b/>
        </w:rPr>
      </w:pPr>
    </w:p>
    <w:p w:rsidR="008B455E" w:rsidRDefault="008B455E" w:rsidP="008B455E">
      <w:pPr>
        <w:ind w:left="5245"/>
        <w:rPr>
          <w:b/>
        </w:rPr>
      </w:pPr>
    </w:p>
    <w:p w:rsidR="008B455E" w:rsidRDefault="008B455E" w:rsidP="008B455E">
      <w:pPr>
        <w:pStyle w:val="30"/>
        <w:shd w:val="clear" w:color="auto" w:fill="auto"/>
        <w:spacing w:after="0"/>
      </w:pPr>
      <w:r>
        <w:rPr>
          <w:sz w:val="28"/>
          <w:szCs w:val="28"/>
          <w:lang w:eastAsia="uk-UA"/>
        </w:rPr>
        <w:object w:dxaOrig="76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5" o:title=""/>
          </v:shape>
          <o:OLEObject Type="Embed" ProgID="PBrush" ShapeID="_x0000_i1025" DrawAspect="Content" ObjectID="_1734919521" r:id="rId6">
            <o:FieldCodes>\s \* MERGEFORMAT</o:FieldCodes>
          </o:OLEObject>
        </w:object>
      </w:r>
    </w:p>
    <w:p w:rsidR="008B455E" w:rsidRDefault="008B455E" w:rsidP="008B455E">
      <w:pPr>
        <w:pStyle w:val="30"/>
        <w:shd w:val="clear" w:color="auto" w:fill="auto"/>
        <w:spacing w:after="0"/>
      </w:pPr>
      <w:r>
        <w:t>КАБІНЕТ МІНІСТРІВ УКРАЇНИ</w:t>
      </w:r>
    </w:p>
    <w:p w:rsidR="000C608D" w:rsidRDefault="000C608D" w:rsidP="008B455E">
      <w:pPr>
        <w:pStyle w:val="30"/>
        <w:shd w:val="clear" w:color="auto" w:fill="auto"/>
        <w:spacing w:after="0"/>
      </w:pPr>
    </w:p>
    <w:p w:rsidR="008B455E" w:rsidRDefault="008B455E" w:rsidP="008B455E">
      <w:pPr>
        <w:pStyle w:val="1"/>
        <w:shd w:val="clear" w:color="auto" w:fill="auto"/>
        <w:spacing w:after="340"/>
        <w:ind w:firstLine="0"/>
        <w:jc w:val="center"/>
      </w:pPr>
      <w:r>
        <w:rPr>
          <w:b/>
          <w:bCs/>
        </w:rPr>
        <w:t>ПОСТАНОВА</w:t>
      </w:r>
    </w:p>
    <w:p w:rsidR="008B455E" w:rsidRDefault="008B455E" w:rsidP="008B455E">
      <w:pPr>
        <w:pStyle w:val="1"/>
        <w:shd w:val="clear" w:color="auto" w:fill="auto"/>
        <w:spacing w:after="340"/>
        <w:ind w:firstLine="0"/>
        <w:jc w:val="center"/>
      </w:pPr>
      <w:r>
        <w:t xml:space="preserve">від </w:t>
      </w:r>
      <w:r w:rsidRPr="00F229FD">
        <w:rPr>
          <w:lang w:val="ru-RU" w:bidi="en-US"/>
        </w:rPr>
        <w:t xml:space="preserve">17 </w:t>
      </w:r>
      <w:r>
        <w:t xml:space="preserve">грудня </w:t>
      </w:r>
      <w:r w:rsidRPr="00F229FD">
        <w:rPr>
          <w:lang w:val="ru-RU" w:bidi="en-US"/>
        </w:rPr>
        <w:t xml:space="preserve">2022 </w:t>
      </w:r>
      <w:r>
        <w:t xml:space="preserve">р. </w:t>
      </w:r>
      <w:r w:rsidRPr="00F229FD">
        <w:rPr>
          <w:lang w:val="ru-RU" w:bidi="en-US"/>
        </w:rPr>
        <w:t>№ 1401</w:t>
      </w:r>
    </w:p>
    <w:p w:rsidR="008B455E" w:rsidRDefault="008B455E" w:rsidP="008B455E">
      <w:pPr>
        <w:pStyle w:val="1"/>
        <w:shd w:val="clear" w:color="auto" w:fill="auto"/>
        <w:spacing w:after="0"/>
        <w:ind w:firstLine="0"/>
        <w:jc w:val="center"/>
      </w:pPr>
      <w:r>
        <w:t>Київ</w:t>
      </w:r>
    </w:p>
    <w:p w:rsidR="008B455E" w:rsidRDefault="008B455E" w:rsidP="008B455E">
      <w:pPr>
        <w:pStyle w:val="1"/>
        <w:shd w:val="clear" w:color="auto" w:fill="auto"/>
        <w:spacing w:after="340"/>
        <w:ind w:firstLine="0"/>
        <w:jc w:val="center"/>
      </w:pPr>
      <w:r>
        <w:rPr>
          <w:b/>
          <w:bCs/>
        </w:rPr>
        <w:t>Питання організації та функціонування</w:t>
      </w:r>
      <w:r>
        <w:rPr>
          <w:b/>
          <w:bCs/>
        </w:rPr>
        <w:br/>
        <w:t>пункті</w:t>
      </w:r>
      <w:bookmarkStart w:id="0" w:name="_GoBack"/>
      <w:bookmarkEnd w:id="0"/>
      <w:r>
        <w:rPr>
          <w:b/>
          <w:bCs/>
        </w:rPr>
        <w:t>в незламності</w:t>
      </w:r>
    </w:p>
    <w:p w:rsidR="008B455E" w:rsidRDefault="008B455E" w:rsidP="008B455E">
      <w:pPr>
        <w:pStyle w:val="1"/>
        <w:shd w:val="clear" w:color="auto" w:fill="auto"/>
        <w:ind w:firstLine="580"/>
        <w:jc w:val="both"/>
      </w:pPr>
      <w:r>
        <w:t xml:space="preserve">Відповідно до статті </w:t>
      </w:r>
      <w:r w:rsidRPr="00F229FD">
        <w:rPr>
          <w:lang w:val="ru-RU" w:bidi="en-US"/>
        </w:rPr>
        <w:t>12</w:t>
      </w:r>
      <w:r w:rsidRPr="00F229FD">
        <w:rPr>
          <w:vertAlign w:val="superscript"/>
          <w:lang w:val="ru-RU" w:bidi="en-US"/>
        </w:rPr>
        <w:t>1</w:t>
      </w:r>
      <w:r w:rsidRPr="00F229FD">
        <w:rPr>
          <w:lang w:val="ru-RU" w:bidi="en-US"/>
        </w:rPr>
        <w:t xml:space="preserve"> </w:t>
      </w:r>
      <w:r>
        <w:t xml:space="preserve">Закону України “Про правовий режим воєнного стану”, Указу Президента України від </w:t>
      </w:r>
      <w:r w:rsidRPr="00F229FD">
        <w:rPr>
          <w:lang w:val="ru-RU" w:bidi="en-US"/>
        </w:rPr>
        <w:t xml:space="preserve">24 </w:t>
      </w:r>
      <w:r>
        <w:t xml:space="preserve">лютого </w:t>
      </w:r>
      <w:r w:rsidRPr="00F229FD">
        <w:rPr>
          <w:lang w:val="ru-RU" w:bidi="en-US"/>
        </w:rPr>
        <w:t xml:space="preserve">2022 </w:t>
      </w:r>
      <w:r>
        <w:t xml:space="preserve">р. </w:t>
      </w:r>
      <w:r w:rsidRPr="00F229FD">
        <w:rPr>
          <w:lang w:val="ru-RU" w:bidi="en-US"/>
        </w:rPr>
        <w:t xml:space="preserve">№ 64 </w:t>
      </w:r>
      <w:r>
        <w:t xml:space="preserve">“Про введення воєнного стану в Україні” Кабінет Міністрів України </w:t>
      </w:r>
      <w:r>
        <w:rPr>
          <w:b/>
          <w:bCs/>
        </w:rPr>
        <w:t>постановляє:</w:t>
      </w:r>
    </w:p>
    <w:p w:rsidR="008B455E" w:rsidRDefault="008B455E" w:rsidP="008B455E">
      <w:pPr>
        <w:pStyle w:val="1"/>
        <w:numPr>
          <w:ilvl w:val="0"/>
          <w:numId w:val="1"/>
        </w:numPr>
        <w:shd w:val="clear" w:color="auto" w:fill="auto"/>
        <w:tabs>
          <w:tab w:val="left" w:pos="978"/>
        </w:tabs>
        <w:ind w:firstLine="580"/>
        <w:jc w:val="both"/>
      </w:pPr>
      <w:r>
        <w:t xml:space="preserve">Затвердити Порядок організації та функціонування пунктів незламності (далі </w:t>
      </w:r>
      <w:r w:rsidRPr="00F229FD">
        <w:rPr>
          <w:lang w:bidi="en-US"/>
        </w:rPr>
        <w:t xml:space="preserve">— </w:t>
      </w:r>
      <w:r>
        <w:t>Порядок), що додається.</w:t>
      </w:r>
    </w:p>
    <w:p w:rsidR="008B455E" w:rsidRDefault="008B455E" w:rsidP="008B455E">
      <w:pPr>
        <w:pStyle w:val="1"/>
        <w:numPr>
          <w:ilvl w:val="0"/>
          <w:numId w:val="1"/>
        </w:numPr>
        <w:shd w:val="clear" w:color="auto" w:fill="auto"/>
        <w:tabs>
          <w:tab w:val="left" w:pos="978"/>
        </w:tabs>
        <w:ind w:firstLine="580"/>
        <w:jc w:val="both"/>
      </w:pPr>
      <w:r>
        <w:t>Міністерствам, іншим центральним органам виконавчої влади, обласним, Київській міській державним адміністраціям (військовим адміністраціям) забезпечити виконання завдань та заходів, передбачених Порядком.</w:t>
      </w:r>
    </w:p>
    <w:p w:rsidR="008B455E" w:rsidRDefault="008B455E" w:rsidP="008B455E">
      <w:pPr>
        <w:pStyle w:val="1"/>
        <w:numPr>
          <w:ilvl w:val="0"/>
          <w:numId w:val="1"/>
        </w:numPr>
        <w:shd w:val="clear" w:color="auto" w:fill="auto"/>
        <w:tabs>
          <w:tab w:val="left" w:pos="978"/>
        </w:tabs>
        <w:spacing w:after="0"/>
        <w:ind w:firstLine="580"/>
        <w:jc w:val="both"/>
      </w:pPr>
      <w:r>
        <w:t>Рекомендувати органам місцевого самоврядування та керівникам суб'єктів господарювання організувати роботу із забезпечення функціонування пунктів незламності відповідно до Порядку.</w:t>
      </w:r>
    </w:p>
    <w:p w:rsidR="008B455E" w:rsidRDefault="008B455E" w:rsidP="008B455E">
      <w:pPr>
        <w:framePr w:wrap="none" w:vAnchor="page" w:hAnchor="page" w:x="1700" w:y="12439"/>
        <w:rPr>
          <w:sz w:val="2"/>
          <w:szCs w:val="2"/>
        </w:rPr>
      </w:pPr>
      <w:r>
        <w:rPr>
          <w:noProof/>
          <w:lang w:eastAsia="uk-UA"/>
        </w:rPr>
        <w:drawing>
          <wp:inline distT="0" distB="0" distL="0" distR="0" wp14:anchorId="3A4C2553" wp14:editId="1640B96C">
            <wp:extent cx="993775" cy="96901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993775" cy="969010"/>
                    </a:xfrm>
                    <a:prstGeom prst="rect">
                      <a:avLst/>
                    </a:prstGeom>
                  </pic:spPr>
                </pic:pic>
              </a:graphicData>
            </a:graphic>
          </wp:inline>
        </w:drawing>
      </w:r>
    </w:p>
    <w:p w:rsidR="008B455E" w:rsidRDefault="008B455E" w:rsidP="008B455E">
      <w:pPr>
        <w:pStyle w:val="a6"/>
        <w:framePr w:wrap="none" w:vAnchor="page" w:hAnchor="page" w:x="3264" w:y="12991"/>
        <w:shd w:val="clear" w:color="auto" w:fill="auto"/>
        <w:spacing w:after="0"/>
        <w:ind w:right="24"/>
        <w:jc w:val="left"/>
      </w:pPr>
      <w:r>
        <w:t>р-міністр України</w:t>
      </w:r>
    </w:p>
    <w:p w:rsidR="003C02FC" w:rsidRDefault="003C02FC" w:rsidP="008B455E">
      <w:pPr>
        <w:pStyle w:val="1"/>
        <w:shd w:val="clear" w:color="auto" w:fill="auto"/>
        <w:spacing w:after="0"/>
        <w:ind w:right="681" w:firstLine="0"/>
        <w:jc w:val="center"/>
        <w:rPr>
          <w:b/>
          <w:bCs/>
        </w:rPr>
      </w:pPr>
    </w:p>
    <w:p w:rsidR="003C02FC" w:rsidRDefault="003C02FC" w:rsidP="008B455E">
      <w:pPr>
        <w:pStyle w:val="1"/>
        <w:shd w:val="clear" w:color="auto" w:fill="auto"/>
        <w:spacing w:after="0"/>
        <w:ind w:right="681" w:firstLine="0"/>
        <w:jc w:val="center"/>
        <w:rPr>
          <w:b/>
          <w:bCs/>
        </w:rPr>
      </w:pPr>
    </w:p>
    <w:p w:rsidR="003C02FC" w:rsidRDefault="003C02FC" w:rsidP="008B455E">
      <w:pPr>
        <w:pStyle w:val="1"/>
        <w:shd w:val="clear" w:color="auto" w:fill="auto"/>
        <w:spacing w:after="0"/>
        <w:ind w:right="681" w:firstLine="0"/>
        <w:jc w:val="center"/>
        <w:rPr>
          <w:b/>
          <w:bCs/>
        </w:rPr>
      </w:pPr>
    </w:p>
    <w:p w:rsidR="003C02FC" w:rsidRDefault="003C02FC" w:rsidP="008B455E">
      <w:pPr>
        <w:pStyle w:val="1"/>
        <w:shd w:val="clear" w:color="auto" w:fill="auto"/>
        <w:spacing w:after="0"/>
        <w:ind w:right="681" w:firstLine="0"/>
        <w:jc w:val="center"/>
        <w:rPr>
          <w:b/>
          <w:bCs/>
        </w:rPr>
      </w:pPr>
      <w:r>
        <w:rPr>
          <w:b/>
          <w:bCs/>
        </w:rPr>
        <w:t xml:space="preserve">                                                                                      </w:t>
      </w:r>
    </w:p>
    <w:p w:rsidR="003C02FC" w:rsidRDefault="003C02FC" w:rsidP="008B455E">
      <w:pPr>
        <w:pStyle w:val="1"/>
        <w:shd w:val="clear" w:color="auto" w:fill="auto"/>
        <w:spacing w:after="0"/>
        <w:ind w:right="681" w:firstLine="0"/>
        <w:jc w:val="center"/>
        <w:rPr>
          <w:b/>
          <w:bCs/>
        </w:rPr>
      </w:pPr>
      <w:r>
        <w:rPr>
          <w:b/>
          <w:bCs/>
        </w:rPr>
        <w:t xml:space="preserve">                                                                                                     </w:t>
      </w:r>
    </w:p>
    <w:p w:rsidR="008B455E" w:rsidRDefault="003C02FC" w:rsidP="008B455E">
      <w:pPr>
        <w:pStyle w:val="1"/>
        <w:shd w:val="clear" w:color="auto" w:fill="auto"/>
        <w:spacing w:after="0"/>
        <w:ind w:right="681" w:firstLine="0"/>
        <w:jc w:val="center"/>
      </w:pPr>
      <w:r>
        <w:rPr>
          <w:b/>
          <w:bCs/>
        </w:rPr>
        <w:t xml:space="preserve">                                                                                               </w:t>
      </w:r>
      <w:r w:rsidR="008B455E">
        <w:rPr>
          <w:b/>
          <w:bCs/>
        </w:rPr>
        <w:t>Д. ШМИГАЛЬ</w:t>
      </w:r>
    </w:p>
    <w:p w:rsidR="008B455E" w:rsidRDefault="008B455E" w:rsidP="008B455E">
      <w:pPr>
        <w:spacing w:line="1" w:lineRule="exact"/>
        <w:sectPr w:rsidR="008B455E" w:rsidSect="008B455E">
          <w:pgSz w:w="11900" w:h="16840"/>
          <w:pgMar w:top="993" w:right="843" w:bottom="360" w:left="1701" w:header="0" w:footer="3" w:gutter="0"/>
          <w:cols w:space="720"/>
          <w:noEndnote/>
          <w:docGrid w:linePitch="360"/>
        </w:sectPr>
      </w:pPr>
    </w:p>
    <w:p w:rsidR="008B455E" w:rsidRDefault="008B455E" w:rsidP="008B455E">
      <w:pPr>
        <w:spacing w:line="1" w:lineRule="exact"/>
      </w:pPr>
    </w:p>
    <w:p w:rsidR="008B455E" w:rsidRDefault="008B455E" w:rsidP="008B455E">
      <w:pPr>
        <w:pStyle w:val="1"/>
        <w:shd w:val="clear" w:color="auto" w:fill="auto"/>
        <w:spacing w:after="0"/>
        <w:ind w:firstLine="0"/>
        <w:jc w:val="center"/>
      </w:pPr>
    </w:p>
    <w:p w:rsidR="008B455E" w:rsidRDefault="008B455E" w:rsidP="008B455E">
      <w:pPr>
        <w:pStyle w:val="1"/>
        <w:shd w:val="clear" w:color="auto" w:fill="auto"/>
        <w:spacing w:after="0"/>
        <w:ind w:firstLine="0"/>
        <w:jc w:val="center"/>
      </w:pPr>
    </w:p>
    <w:p w:rsidR="008B455E" w:rsidRPr="000C608D" w:rsidRDefault="008B455E" w:rsidP="008B455E">
      <w:pPr>
        <w:pStyle w:val="1"/>
        <w:shd w:val="clear" w:color="auto" w:fill="auto"/>
        <w:spacing w:after="0"/>
        <w:ind w:firstLine="0"/>
        <w:jc w:val="center"/>
        <w:rPr>
          <w:lang w:bidi="en-US"/>
        </w:rPr>
      </w:pPr>
      <w:r>
        <w:t>ЗАТВЕРДЖЕНО</w:t>
      </w:r>
      <w:r>
        <w:br/>
        <w:t>постановою Кабінету Міністрів України</w:t>
      </w:r>
      <w:r>
        <w:br/>
        <w:t xml:space="preserve">від </w:t>
      </w:r>
      <w:r w:rsidRPr="000C608D">
        <w:rPr>
          <w:lang w:bidi="en-US"/>
        </w:rPr>
        <w:t xml:space="preserve">17 </w:t>
      </w:r>
      <w:r>
        <w:t xml:space="preserve">грудня </w:t>
      </w:r>
      <w:r w:rsidRPr="000C608D">
        <w:rPr>
          <w:lang w:bidi="en-US"/>
        </w:rPr>
        <w:t xml:space="preserve">2022 </w:t>
      </w:r>
      <w:r>
        <w:t xml:space="preserve">р. </w:t>
      </w:r>
      <w:r w:rsidRPr="000C608D">
        <w:rPr>
          <w:lang w:bidi="en-US"/>
        </w:rPr>
        <w:t>№ 1401</w:t>
      </w:r>
    </w:p>
    <w:p w:rsidR="008B455E" w:rsidRDefault="008B455E" w:rsidP="008B455E">
      <w:pPr>
        <w:pStyle w:val="1"/>
        <w:shd w:val="clear" w:color="auto" w:fill="auto"/>
        <w:spacing w:after="0"/>
        <w:ind w:firstLine="0"/>
        <w:jc w:val="center"/>
      </w:pPr>
    </w:p>
    <w:p w:rsidR="008B455E" w:rsidRPr="008B455E" w:rsidRDefault="008B455E" w:rsidP="008B455E">
      <w:pPr>
        <w:pStyle w:val="1"/>
        <w:shd w:val="clear" w:color="auto" w:fill="auto"/>
        <w:spacing w:after="360"/>
        <w:ind w:firstLine="0"/>
        <w:jc w:val="center"/>
        <w:rPr>
          <w:b/>
          <w:bCs/>
        </w:rPr>
      </w:pPr>
      <w:r w:rsidRPr="008B455E">
        <w:rPr>
          <w:b/>
          <w:bCs/>
        </w:rPr>
        <w:t>ПОРЯДОК</w:t>
      </w:r>
      <w:r w:rsidRPr="008B455E">
        <w:rPr>
          <w:b/>
          <w:bCs/>
        </w:rPr>
        <w:br/>
        <w:t>організації та функціонування пунктів незламності</w:t>
      </w:r>
    </w:p>
    <w:p w:rsidR="008B455E" w:rsidRDefault="008B455E" w:rsidP="009257DD">
      <w:pPr>
        <w:pStyle w:val="1"/>
        <w:numPr>
          <w:ilvl w:val="0"/>
          <w:numId w:val="2"/>
        </w:numPr>
        <w:shd w:val="clear" w:color="auto" w:fill="auto"/>
        <w:tabs>
          <w:tab w:val="left" w:pos="918"/>
        </w:tabs>
        <w:spacing w:line="276" w:lineRule="auto"/>
        <w:ind w:firstLine="580"/>
        <w:jc w:val="both"/>
      </w:pPr>
      <w:r>
        <w:t xml:space="preserve">Цей Порядок визначає вимоги щодо розгортання та діяльності пунктів незламності у разі загрози та/або виникнення надзвичайних ситуацій, пов'язаних з припиненням (порушенням) роботи систем централізованого водопостачання, водовідведення, електро-, газо- і теплопостачання (в осінньо-зимовий період) та усіх видів електронних комунікаційних послуг (далі </w:t>
      </w:r>
      <w:r w:rsidRPr="00F229FD">
        <w:rPr>
          <w:lang w:bidi="en-US"/>
        </w:rPr>
        <w:t xml:space="preserve">— </w:t>
      </w:r>
      <w:r>
        <w:t>системи життєзабезпечення) в умовах воєнного стану.</w:t>
      </w:r>
    </w:p>
    <w:p w:rsidR="008B455E" w:rsidRDefault="008B455E" w:rsidP="009257DD">
      <w:pPr>
        <w:pStyle w:val="1"/>
        <w:numPr>
          <w:ilvl w:val="0"/>
          <w:numId w:val="2"/>
        </w:numPr>
        <w:shd w:val="clear" w:color="auto" w:fill="auto"/>
        <w:tabs>
          <w:tab w:val="left" w:pos="918"/>
        </w:tabs>
        <w:spacing w:line="276" w:lineRule="auto"/>
        <w:ind w:firstLine="580"/>
        <w:jc w:val="both"/>
      </w:pPr>
      <w:r>
        <w:t>Термін “пункт незламності” у цьому Порядку означає приміщення будівлі (споруди) або спеціально зведений намет, або транспортний засіб, які передбачені для тимчасового перебування людей та в яких створено і підтримуються умови, мінімально необхідні для збереження життя і здоров'я населення у разі порушення сталої роботи систем життєзабезпечення.</w:t>
      </w:r>
    </w:p>
    <w:p w:rsidR="008B455E" w:rsidRDefault="008B455E" w:rsidP="009257DD">
      <w:pPr>
        <w:pStyle w:val="1"/>
        <w:shd w:val="clear" w:color="auto" w:fill="auto"/>
        <w:spacing w:line="276" w:lineRule="auto"/>
        <w:ind w:firstLine="580"/>
        <w:jc w:val="both"/>
      </w:pPr>
      <w:r>
        <w:t>Інші терміни, що використовуються у цьому Порядку, вживаються у значенні, наведеному в Кодексі цивільного захисту України.</w:t>
      </w:r>
    </w:p>
    <w:p w:rsidR="008B455E" w:rsidRDefault="008B455E" w:rsidP="009257DD">
      <w:pPr>
        <w:pStyle w:val="1"/>
        <w:numPr>
          <w:ilvl w:val="0"/>
          <w:numId w:val="2"/>
        </w:numPr>
        <w:shd w:val="clear" w:color="auto" w:fill="auto"/>
        <w:tabs>
          <w:tab w:val="left" w:pos="931"/>
        </w:tabs>
        <w:spacing w:line="276" w:lineRule="auto"/>
        <w:ind w:firstLine="580"/>
        <w:jc w:val="both"/>
      </w:pPr>
      <w:r>
        <w:t>Види пунктів незламності:</w:t>
      </w:r>
    </w:p>
    <w:p w:rsidR="008B455E" w:rsidRDefault="008B455E" w:rsidP="009257DD">
      <w:pPr>
        <w:pStyle w:val="1"/>
        <w:shd w:val="clear" w:color="auto" w:fill="auto"/>
        <w:spacing w:line="276" w:lineRule="auto"/>
        <w:ind w:firstLine="580"/>
        <w:jc w:val="both"/>
      </w:pPr>
      <w:r w:rsidRPr="00F229FD">
        <w:rPr>
          <w:lang w:val="ru-RU" w:bidi="en-US"/>
        </w:rPr>
        <w:t xml:space="preserve">1) </w:t>
      </w:r>
      <w:r>
        <w:t xml:space="preserve">стаціонарний </w:t>
      </w:r>
      <w:r w:rsidRPr="00F229FD">
        <w:rPr>
          <w:lang w:val="ru-RU" w:bidi="en-US"/>
        </w:rPr>
        <w:t xml:space="preserve">— </w:t>
      </w:r>
      <w:r>
        <w:t>розміщений у приміщенні будівлі (споруди);</w:t>
      </w:r>
    </w:p>
    <w:p w:rsidR="008B455E" w:rsidRDefault="008B455E" w:rsidP="009257DD">
      <w:pPr>
        <w:pStyle w:val="1"/>
        <w:shd w:val="clear" w:color="auto" w:fill="auto"/>
        <w:spacing w:line="276" w:lineRule="auto"/>
        <w:ind w:firstLine="580"/>
        <w:jc w:val="both"/>
      </w:pPr>
      <w:r w:rsidRPr="00F229FD">
        <w:rPr>
          <w:lang w:val="ru-RU" w:bidi="en-US"/>
        </w:rPr>
        <w:t xml:space="preserve">2) </w:t>
      </w:r>
      <w:r>
        <w:t xml:space="preserve">мобільний </w:t>
      </w:r>
      <w:r w:rsidRPr="00F229FD">
        <w:rPr>
          <w:lang w:val="ru-RU" w:bidi="en-US"/>
        </w:rPr>
        <w:t xml:space="preserve">— </w:t>
      </w:r>
      <w:r>
        <w:t>розгортається на базі намету або транспортного засобу.</w:t>
      </w:r>
    </w:p>
    <w:p w:rsidR="008B455E" w:rsidRDefault="008B455E" w:rsidP="009257DD">
      <w:pPr>
        <w:pStyle w:val="1"/>
        <w:numPr>
          <w:ilvl w:val="0"/>
          <w:numId w:val="2"/>
        </w:numPr>
        <w:shd w:val="clear" w:color="auto" w:fill="auto"/>
        <w:tabs>
          <w:tab w:val="left" w:pos="918"/>
        </w:tabs>
        <w:spacing w:line="276" w:lineRule="auto"/>
        <w:ind w:firstLine="580"/>
        <w:jc w:val="both"/>
      </w:pPr>
      <w:r>
        <w:t xml:space="preserve">Розгортання та функціонування пунктів незламності організовується міністерствами, центральними органами виконавчої влади та їх територіальними органами, обласними, Київською міською держадміністраціями (військовими адміністраціями) та органами місцевого самоврядування, суб'єктами господарювання державної та приватної форми власності (за згодою) з урахуванням наявного ресурсу відповідно до Примірної інструкції щодо діяльності пунктів незламності згідно з додатком </w:t>
      </w:r>
      <w:r w:rsidRPr="00F229FD">
        <w:rPr>
          <w:lang w:bidi="en-US"/>
        </w:rPr>
        <w:t xml:space="preserve">1 </w:t>
      </w:r>
      <w:r>
        <w:t xml:space="preserve">та Примірного переліку комплектації пунктів незламності згідно з додатком </w:t>
      </w:r>
      <w:r w:rsidRPr="00F229FD">
        <w:rPr>
          <w:lang w:bidi="en-US"/>
        </w:rPr>
        <w:t>2.</w:t>
      </w:r>
    </w:p>
    <w:p w:rsidR="008B455E" w:rsidRDefault="008B455E" w:rsidP="009257DD">
      <w:pPr>
        <w:pStyle w:val="1"/>
        <w:numPr>
          <w:ilvl w:val="0"/>
          <w:numId w:val="2"/>
        </w:numPr>
        <w:shd w:val="clear" w:color="auto" w:fill="auto"/>
        <w:tabs>
          <w:tab w:val="left" w:pos="918"/>
        </w:tabs>
        <w:spacing w:after="0" w:line="276" w:lineRule="auto"/>
        <w:ind w:firstLine="580"/>
        <w:jc w:val="both"/>
      </w:pPr>
      <w:r>
        <w:t>Контроль та координація заходів з розгортання та функціонування пунктів незламності покладається на керівників міністерств, центральних органів виконавчої влади та їх територіальних органів, обласних, Київської міської держадміністрацій (військових адміністрацій) та органів місцевого самоврядування, суб'єктів господарювання державної та приватної форми власності.</w:t>
      </w:r>
    </w:p>
    <w:p w:rsidR="008B455E" w:rsidRDefault="008B455E" w:rsidP="008B455E">
      <w:pPr>
        <w:pStyle w:val="1"/>
        <w:shd w:val="clear" w:color="auto" w:fill="auto"/>
        <w:tabs>
          <w:tab w:val="left" w:pos="918"/>
        </w:tabs>
        <w:spacing w:after="0"/>
        <w:ind w:left="580" w:firstLine="0"/>
        <w:jc w:val="both"/>
      </w:pPr>
    </w:p>
    <w:p w:rsidR="008B455E" w:rsidRDefault="008B455E" w:rsidP="008B455E">
      <w:pPr>
        <w:pStyle w:val="1"/>
        <w:shd w:val="clear" w:color="auto" w:fill="auto"/>
        <w:tabs>
          <w:tab w:val="left" w:pos="918"/>
        </w:tabs>
        <w:spacing w:after="0"/>
        <w:ind w:left="580" w:firstLine="0"/>
        <w:jc w:val="both"/>
      </w:pPr>
    </w:p>
    <w:p w:rsidR="008B455E" w:rsidRDefault="008B455E" w:rsidP="008B455E">
      <w:pPr>
        <w:pStyle w:val="1"/>
        <w:shd w:val="clear" w:color="auto" w:fill="auto"/>
        <w:tabs>
          <w:tab w:val="left" w:pos="918"/>
        </w:tabs>
        <w:spacing w:after="0"/>
        <w:ind w:left="580" w:firstLine="0"/>
        <w:jc w:val="both"/>
      </w:pPr>
    </w:p>
    <w:p w:rsidR="008B455E" w:rsidRDefault="008B455E" w:rsidP="008B455E">
      <w:pPr>
        <w:spacing w:line="1" w:lineRule="exact"/>
      </w:pPr>
    </w:p>
    <w:p w:rsidR="008B455E" w:rsidRDefault="008B455E" w:rsidP="008B455E">
      <w:pPr>
        <w:spacing w:line="1" w:lineRule="exact"/>
      </w:pPr>
    </w:p>
    <w:p w:rsidR="008B455E" w:rsidRDefault="008B455E" w:rsidP="008B455E">
      <w:pPr>
        <w:spacing w:line="1" w:lineRule="exact"/>
      </w:pPr>
    </w:p>
    <w:p w:rsidR="008B455E" w:rsidRDefault="008B455E" w:rsidP="008B455E">
      <w:pPr>
        <w:spacing w:line="1" w:lineRule="exact"/>
      </w:pPr>
    </w:p>
    <w:p w:rsidR="008B455E" w:rsidRDefault="008B455E" w:rsidP="008B455E">
      <w:pPr>
        <w:spacing w:line="1" w:lineRule="exact"/>
      </w:pPr>
    </w:p>
    <w:p w:rsidR="008B455E" w:rsidRDefault="008B455E" w:rsidP="008B455E">
      <w:pPr>
        <w:spacing w:line="1" w:lineRule="exact"/>
      </w:pPr>
    </w:p>
    <w:p w:rsidR="008B455E" w:rsidRDefault="008B455E" w:rsidP="008B455E">
      <w:pPr>
        <w:spacing w:line="1" w:lineRule="exact"/>
      </w:pPr>
    </w:p>
    <w:p w:rsidR="008B455E" w:rsidRDefault="008B455E" w:rsidP="008B455E">
      <w:pPr>
        <w:spacing w:line="1" w:lineRule="exact"/>
        <w:sectPr w:rsidR="008B455E" w:rsidSect="000C608D">
          <w:pgSz w:w="11900" w:h="16840"/>
          <w:pgMar w:top="567" w:right="843" w:bottom="360" w:left="1701" w:header="0" w:footer="3" w:gutter="0"/>
          <w:cols w:space="720"/>
          <w:noEndnote/>
          <w:docGrid w:linePitch="360"/>
        </w:sectPr>
      </w:pPr>
    </w:p>
    <w:p w:rsidR="008B455E" w:rsidRDefault="008B455E" w:rsidP="008B455E">
      <w:pPr>
        <w:spacing w:line="1" w:lineRule="exact"/>
      </w:pPr>
    </w:p>
    <w:p w:rsidR="008B455E" w:rsidRDefault="008B455E" w:rsidP="008B455E">
      <w:pPr>
        <w:pStyle w:val="a8"/>
        <w:framePr w:wrap="none" w:vAnchor="page" w:hAnchor="page" w:x="6125" w:y="549"/>
        <w:shd w:val="clear" w:color="auto" w:fill="auto"/>
        <w:jc w:val="left"/>
      </w:pPr>
      <w:r>
        <w:rPr>
          <w:lang w:val="en-US" w:bidi="en-US"/>
        </w:rPr>
        <w:t>2</w:t>
      </w:r>
    </w:p>
    <w:p w:rsidR="008B455E" w:rsidRDefault="008B455E" w:rsidP="003C7B6C">
      <w:pPr>
        <w:pStyle w:val="1"/>
        <w:numPr>
          <w:ilvl w:val="0"/>
          <w:numId w:val="2"/>
        </w:numPr>
        <w:shd w:val="clear" w:color="auto" w:fill="auto"/>
        <w:tabs>
          <w:tab w:val="left" w:pos="918"/>
        </w:tabs>
        <w:ind w:firstLine="580"/>
        <w:jc w:val="both"/>
      </w:pPr>
      <w:r>
        <w:t xml:space="preserve">Інформація щодо оснащення, можливостей та характеристик пункту незламності зазначається в паспорті пункту незламності згідно з додатком </w:t>
      </w:r>
      <w:r w:rsidRPr="00F229FD">
        <w:rPr>
          <w:lang w:val="ru-RU" w:bidi="en-US"/>
        </w:rPr>
        <w:t>3.</w:t>
      </w:r>
    </w:p>
    <w:p w:rsidR="008B455E" w:rsidRDefault="008B455E" w:rsidP="003C7B6C">
      <w:pPr>
        <w:pStyle w:val="1"/>
        <w:numPr>
          <w:ilvl w:val="0"/>
          <w:numId w:val="2"/>
        </w:numPr>
        <w:shd w:val="clear" w:color="auto" w:fill="auto"/>
        <w:tabs>
          <w:tab w:val="left" w:pos="918"/>
        </w:tabs>
        <w:ind w:firstLine="580"/>
        <w:jc w:val="both"/>
      </w:pPr>
      <w:r>
        <w:t xml:space="preserve">Стаціонарні пункти незламності розгортаються у приміщеннях об'єктів державної та комунальної власності, а також приватної власності </w:t>
      </w:r>
      <w:r w:rsidRPr="00F229FD">
        <w:rPr>
          <w:lang w:bidi="en-US"/>
        </w:rPr>
        <w:t xml:space="preserve">— </w:t>
      </w:r>
      <w:r>
        <w:t>за ініціативою власника або орендаря такого приміщення.</w:t>
      </w:r>
    </w:p>
    <w:p w:rsidR="008B455E" w:rsidRDefault="008B455E" w:rsidP="003C7B6C">
      <w:pPr>
        <w:pStyle w:val="1"/>
        <w:numPr>
          <w:ilvl w:val="0"/>
          <w:numId w:val="2"/>
        </w:numPr>
        <w:shd w:val="clear" w:color="auto" w:fill="auto"/>
        <w:tabs>
          <w:tab w:val="left" w:pos="918"/>
        </w:tabs>
        <w:ind w:firstLine="580"/>
        <w:jc w:val="both"/>
      </w:pPr>
      <w:r>
        <w:t>Мобільні пункти незламності розгортаються у визначених міністерствами, центральними органами виконавчої влади та їх територіальними органами, обласними, Київською міською держадміністраціями (військовими адміністраціями) та органами місцевого самоврядування, суб'єктами господарювання державної та приватної форми власності (за згодою) місцях.</w:t>
      </w:r>
    </w:p>
    <w:p w:rsidR="008B455E" w:rsidRDefault="008B455E" w:rsidP="003C7B6C">
      <w:pPr>
        <w:pStyle w:val="1"/>
        <w:numPr>
          <w:ilvl w:val="0"/>
          <w:numId w:val="2"/>
        </w:numPr>
        <w:shd w:val="clear" w:color="auto" w:fill="auto"/>
        <w:tabs>
          <w:tab w:val="left" w:pos="918"/>
        </w:tabs>
        <w:ind w:firstLine="580"/>
        <w:jc w:val="both"/>
      </w:pPr>
      <w:r>
        <w:t>Розгортання та функціонування стаціонарних та мобільних пунктів незламності здійснюється за рахунок коштів державного, місцевих бюджетів, коштів суб'єктів господарювання державної форми власності, а також інших не заборонених законодавством джерел.</w:t>
      </w:r>
    </w:p>
    <w:p w:rsidR="008B455E" w:rsidRDefault="008B455E" w:rsidP="003C7B6C">
      <w:pPr>
        <w:pStyle w:val="1"/>
        <w:numPr>
          <w:ilvl w:val="0"/>
          <w:numId w:val="2"/>
        </w:numPr>
        <w:shd w:val="clear" w:color="auto" w:fill="auto"/>
        <w:tabs>
          <w:tab w:val="left" w:pos="1277"/>
        </w:tabs>
        <w:ind w:firstLine="580"/>
        <w:jc w:val="both"/>
      </w:pPr>
      <w:r>
        <w:t>Кількість пунктів незламності визначається самостійно відповідними центральними і місцевими органами виконавчої влади та органами місцевого самоврядування відповідно до потреб населення територій територіальних громад та м. Києва.</w:t>
      </w:r>
    </w:p>
    <w:p w:rsidR="008B455E" w:rsidRDefault="008B455E" w:rsidP="003C7B6C">
      <w:pPr>
        <w:pStyle w:val="1"/>
        <w:shd w:val="clear" w:color="auto" w:fill="auto"/>
        <w:ind w:firstLine="580"/>
        <w:jc w:val="both"/>
      </w:pPr>
      <w:r>
        <w:t>Кількість пунктів незламності може визначатися з урахуванням пропозицій та рекомендацій Комісії з питань техногенно-екологічної безпеки та надзвичайних ситуацій відповідного рівня.</w:t>
      </w:r>
    </w:p>
    <w:p w:rsidR="008B455E" w:rsidRDefault="008B455E" w:rsidP="003C7B6C">
      <w:pPr>
        <w:pStyle w:val="1"/>
        <w:shd w:val="clear" w:color="auto" w:fill="auto"/>
        <w:ind w:firstLine="580"/>
        <w:jc w:val="both"/>
      </w:pPr>
      <w:r>
        <w:t>Міністерства, центральні органи виконавчої влади та їх територіальні органи, обласні, Київська міська держадміністрації (військові адміністрації) відповідно до компетенції сприяють у вирішенні питань щодо організації та функціонування пунктів незламності, які розгортаються органами місцевого самоврядування, суб'єктами господарювання державної та приватної форми власності (за згодою).</w:t>
      </w:r>
    </w:p>
    <w:p w:rsidR="008B455E" w:rsidRDefault="008B455E" w:rsidP="003C7B6C">
      <w:pPr>
        <w:pStyle w:val="1"/>
        <w:numPr>
          <w:ilvl w:val="0"/>
          <w:numId w:val="2"/>
        </w:numPr>
        <w:shd w:val="clear" w:color="auto" w:fill="auto"/>
        <w:tabs>
          <w:tab w:val="left" w:pos="1057"/>
        </w:tabs>
        <w:ind w:firstLine="580"/>
        <w:jc w:val="both"/>
      </w:pPr>
      <w:r>
        <w:t xml:space="preserve">Місця розташування пунктів незламності розміщуються на офіційних інформаційних ресурсах центральних та місцевих органів виконавчої влади, в тому числі на офіційному інформаційному порталі Кабінету Міністрів України (за посиланням </w:t>
      </w:r>
      <w:r w:rsidR="00177C6B">
        <w:rPr>
          <w:lang w:val="en-US" w:bidi="en-US"/>
        </w:rPr>
        <w:fldChar w:fldCharType="begin"/>
      </w:r>
      <w:r w:rsidR="00177C6B" w:rsidRPr="00177C6B">
        <w:rPr>
          <w:lang w:bidi="en-US"/>
        </w:rPr>
        <w:instrText xml:space="preserve"> </w:instrText>
      </w:r>
      <w:r w:rsidR="00177C6B">
        <w:rPr>
          <w:lang w:val="en-US" w:bidi="en-US"/>
        </w:rPr>
        <w:instrText>HYPERLINK</w:instrText>
      </w:r>
      <w:r w:rsidR="00177C6B" w:rsidRPr="00177C6B">
        <w:rPr>
          <w:lang w:bidi="en-US"/>
        </w:rPr>
        <w:instrText xml:space="preserve"> "</w:instrText>
      </w:r>
      <w:r w:rsidR="00177C6B">
        <w:rPr>
          <w:lang w:val="en-US" w:bidi="en-US"/>
        </w:rPr>
        <w:instrText>http</w:instrText>
      </w:r>
      <w:r w:rsidR="00177C6B" w:rsidRPr="00177C6B">
        <w:rPr>
          <w:lang w:bidi="en-US"/>
        </w:rPr>
        <w:instrText>://</w:instrText>
      </w:r>
      <w:r w:rsidR="00177C6B">
        <w:rPr>
          <w:lang w:val="en-US" w:bidi="en-US"/>
        </w:rPr>
        <w:instrText>nezlamnist</w:instrText>
      </w:r>
      <w:r w:rsidR="00177C6B" w:rsidRPr="00177C6B">
        <w:rPr>
          <w:lang w:bidi="en-US"/>
        </w:rPr>
        <w:instrText>.</w:instrText>
      </w:r>
      <w:r w:rsidR="00177C6B">
        <w:rPr>
          <w:lang w:val="en-US" w:bidi="en-US"/>
        </w:rPr>
        <w:instrText>gov</w:instrText>
      </w:r>
      <w:r w:rsidR="00177C6B" w:rsidRPr="00177C6B">
        <w:rPr>
          <w:lang w:bidi="en-US"/>
        </w:rPr>
        <w:instrText>.</w:instrText>
      </w:r>
      <w:r w:rsidR="00177C6B">
        <w:rPr>
          <w:lang w:val="en-US" w:bidi="en-US"/>
        </w:rPr>
        <w:instrText>ua</w:instrText>
      </w:r>
      <w:r w:rsidR="00177C6B" w:rsidRPr="00177C6B">
        <w:rPr>
          <w:lang w:bidi="en-US"/>
        </w:rPr>
        <w:instrText xml:space="preserve">" </w:instrText>
      </w:r>
      <w:r w:rsidR="00177C6B">
        <w:rPr>
          <w:lang w:val="en-US" w:bidi="en-US"/>
        </w:rPr>
        <w:fldChar w:fldCharType="separate"/>
      </w:r>
      <w:r>
        <w:rPr>
          <w:lang w:val="en-US" w:bidi="en-US"/>
        </w:rPr>
        <w:t>http</w:t>
      </w:r>
      <w:r w:rsidRPr="00F229FD">
        <w:rPr>
          <w:lang w:bidi="en-US"/>
        </w:rPr>
        <w:t>://</w:t>
      </w:r>
      <w:proofErr w:type="spellStart"/>
      <w:r>
        <w:rPr>
          <w:lang w:val="en-US" w:bidi="en-US"/>
        </w:rPr>
        <w:t>nezlamnist</w:t>
      </w:r>
      <w:proofErr w:type="spellEnd"/>
      <w:r w:rsidRPr="00F229FD">
        <w:rPr>
          <w:lang w:bidi="en-US"/>
        </w:rPr>
        <w:t>.</w:t>
      </w:r>
      <w:proofErr w:type="spellStart"/>
      <w:r>
        <w:rPr>
          <w:lang w:val="en-US" w:bidi="en-US"/>
        </w:rPr>
        <w:t>gov</w:t>
      </w:r>
      <w:proofErr w:type="spellEnd"/>
      <w:r w:rsidRPr="00F229FD">
        <w:rPr>
          <w:lang w:bidi="en-US"/>
        </w:rPr>
        <w:t>.</w:t>
      </w:r>
      <w:proofErr w:type="spellStart"/>
      <w:r>
        <w:rPr>
          <w:lang w:val="en-US" w:bidi="en-US"/>
        </w:rPr>
        <w:t>ua</w:t>
      </w:r>
      <w:proofErr w:type="spellEnd"/>
      <w:r w:rsidR="00177C6B">
        <w:rPr>
          <w:lang w:val="en-US" w:bidi="en-US"/>
        </w:rPr>
        <w:fldChar w:fldCharType="end"/>
      </w:r>
      <w:r w:rsidRPr="00F229FD">
        <w:rPr>
          <w:lang w:bidi="en-US"/>
        </w:rPr>
        <w:t xml:space="preserve">), </w:t>
      </w:r>
      <w:r>
        <w:t xml:space="preserve">органів місцевого самоврядування, суб'єктів господарювання та інших інформаційних ресурсів державної та приватної форми власності (за згодою), а також на дошках оголошень за формою згідно з додатком </w:t>
      </w:r>
      <w:r w:rsidRPr="00F229FD">
        <w:rPr>
          <w:lang w:bidi="en-US"/>
        </w:rPr>
        <w:t xml:space="preserve">4. </w:t>
      </w:r>
      <w:r>
        <w:t xml:space="preserve">Пункт незламності повинен мати вивіску за формою згідно з додатком </w:t>
      </w:r>
      <w:r w:rsidRPr="00F229FD">
        <w:rPr>
          <w:lang w:val="ru-RU" w:bidi="en-US"/>
        </w:rPr>
        <w:t>5.</w:t>
      </w:r>
    </w:p>
    <w:p w:rsidR="008B455E" w:rsidRDefault="008B455E" w:rsidP="003C7B6C">
      <w:pPr>
        <w:pStyle w:val="1"/>
        <w:numPr>
          <w:ilvl w:val="0"/>
          <w:numId w:val="2"/>
        </w:numPr>
        <w:shd w:val="clear" w:color="auto" w:fill="auto"/>
        <w:tabs>
          <w:tab w:val="left" w:pos="1057"/>
        </w:tabs>
        <w:spacing w:after="0"/>
        <w:ind w:firstLine="580"/>
        <w:jc w:val="both"/>
      </w:pPr>
      <w:r>
        <w:t>Пункти незламності функціонують у цілодобовому режимі або за графіком, визначеним Комісією з питань техногенно-екологічної безпеки та надзвичайних ситуацій відповідного рівня, за винятком пунктів незламності, розгорнутих у приміщеннях суб'єктів господарювання</w:t>
      </w:r>
    </w:p>
    <w:p w:rsidR="008B455E" w:rsidRDefault="008B455E" w:rsidP="003C7B6C">
      <w:pPr>
        <w:sectPr w:rsidR="008B455E" w:rsidSect="000C608D">
          <w:pgSz w:w="11900" w:h="16840"/>
          <w:pgMar w:top="1276" w:right="843" w:bottom="360" w:left="1701" w:header="0" w:footer="3" w:gutter="0"/>
          <w:cols w:space="720"/>
          <w:noEndnote/>
          <w:docGrid w:linePitch="360"/>
        </w:sectPr>
      </w:pPr>
    </w:p>
    <w:p w:rsidR="008B455E" w:rsidRDefault="008B455E" w:rsidP="003C7B6C"/>
    <w:p w:rsidR="008B455E" w:rsidRDefault="008B455E" w:rsidP="003C7B6C">
      <w:pPr>
        <w:pStyle w:val="a8"/>
        <w:framePr w:wrap="none" w:vAnchor="page" w:hAnchor="page" w:x="6125" w:y="549"/>
        <w:shd w:val="clear" w:color="auto" w:fill="auto"/>
        <w:jc w:val="left"/>
      </w:pPr>
      <w:r w:rsidRPr="00F229FD">
        <w:rPr>
          <w:lang w:val="ru-RU" w:bidi="en-US"/>
        </w:rPr>
        <w:t>3</w:t>
      </w:r>
    </w:p>
    <w:p w:rsidR="000C608D" w:rsidRDefault="000C608D" w:rsidP="003C7B6C">
      <w:pPr>
        <w:pStyle w:val="1"/>
        <w:shd w:val="clear" w:color="auto" w:fill="auto"/>
        <w:ind w:firstLine="0"/>
        <w:jc w:val="both"/>
      </w:pPr>
    </w:p>
    <w:p w:rsidR="000C608D" w:rsidRDefault="000C608D" w:rsidP="003C7B6C">
      <w:pPr>
        <w:pStyle w:val="1"/>
        <w:shd w:val="clear" w:color="auto" w:fill="auto"/>
        <w:ind w:firstLine="0"/>
        <w:jc w:val="both"/>
      </w:pPr>
    </w:p>
    <w:p w:rsidR="008B455E" w:rsidRDefault="008B455E" w:rsidP="003C7B6C">
      <w:pPr>
        <w:pStyle w:val="1"/>
        <w:shd w:val="clear" w:color="auto" w:fill="auto"/>
        <w:ind w:firstLine="0"/>
        <w:jc w:val="both"/>
      </w:pPr>
      <w:r>
        <w:t>приватної форми власності, графік роботи яких визначається власником або орендарем об'єкта.</w:t>
      </w:r>
    </w:p>
    <w:p w:rsidR="008B455E" w:rsidRDefault="008B455E" w:rsidP="003C7B6C">
      <w:pPr>
        <w:pStyle w:val="1"/>
        <w:numPr>
          <w:ilvl w:val="0"/>
          <w:numId w:val="2"/>
        </w:numPr>
        <w:shd w:val="clear" w:color="auto" w:fill="auto"/>
        <w:tabs>
          <w:tab w:val="left" w:pos="1057"/>
        </w:tabs>
        <w:ind w:firstLine="580"/>
        <w:jc w:val="both"/>
      </w:pPr>
      <w:r>
        <w:t>Робота пунктів незламності відокремлюється від роботи пунктів по допомозі безпритульним.</w:t>
      </w:r>
    </w:p>
    <w:p w:rsidR="008B455E" w:rsidRDefault="008B455E" w:rsidP="003C7B6C">
      <w:pPr>
        <w:pStyle w:val="1"/>
        <w:numPr>
          <w:ilvl w:val="0"/>
          <w:numId w:val="2"/>
        </w:numPr>
        <w:shd w:val="clear" w:color="auto" w:fill="auto"/>
        <w:tabs>
          <w:tab w:val="left" w:pos="1057"/>
        </w:tabs>
        <w:spacing w:after="0"/>
        <w:ind w:firstLine="580"/>
        <w:jc w:val="both"/>
      </w:pPr>
      <w:r>
        <w:t>Припинення роботи пунктів незламності здійснюється в разі забезпечення сталої роботи систем життєзабезпечення за рішенням суб'єкта, який організовував розгортання та забезпечує його функціонування, з інформуванням населення про завершення роботи такого пункту.</w:t>
      </w:r>
    </w:p>
    <w:p w:rsidR="008B455E" w:rsidRDefault="008B455E" w:rsidP="008B455E">
      <w:pPr>
        <w:spacing w:line="1" w:lineRule="exact"/>
        <w:sectPr w:rsidR="008B455E" w:rsidSect="00F229FD">
          <w:pgSz w:w="11900" w:h="16840"/>
          <w:pgMar w:top="360" w:right="843" w:bottom="360" w:left="1701" w:header="0" w:footer="3" w:gutter="0"/>
          <w:cols w:space="720"/>
          <w:noEndnote/>
          <w:docGrid w:linePitch="360"/>
        </w:sectPr>
      </w:pPr>
    </w:p>
    <w:p w:rsidR="008B455E" w:rsidRDefault="008B455E" w:rsidP="008B455E">
      <w:pPr>
        <w:spacing w:line="1" w:lineRule="exact"/>
      </w:pPr>
    </w:p>
    <w:p w:rsidR="008B455E" w:rsidRDefault="008B455E" w:rsidP="008B455E">
      <w:pPr>
        <w:pStyle w:val="a8"/>
        <w:shd w:val="clear" w:color="auto" w:fill="auto"/>
        <w:ind w:left="7655"/>
      </w:pPr>
      <w:r>
        <w:t xml:space="preserve">Додаток </w:t>
      </w:r>
      <w:r w:rsidRPr="00F229FD">
        <w:rPr>
          <w:lang w:val="ru-RU" w:bidi="en-US"/>
        </w:rPr>
        <w:t>1</w:t>
      </w:r>
    </w:p>
    <w:p w:rsidR="008B455E" w:rsidRDefault="008B455E" w:rsidP="008B455E">
      <w:pPr>
        <w:pStyle w:val="a8"/>
        <w:shd w:val="clear" w:color="auto" w:fill="auto"/>
        <w:ind w:left="7655"/>
      </w:pPr>
      <w:r>
        <w:t>до Порядку</w:t>
      </w:r>
    </w:p>
    <w:p w:rsidR="008B455E" w:rsidRDefault="008B455E" w:rsidP="008B455E">
      <w:pPr>
        <w:pStyle w:val="a8"/>
        <w:shd w:val="clear" w:color="auto" w:fill="auto"/>
        <w:ind w:left="7655"/>
      </w:pPr>
    </w:p>
    <w:p w:rsidR="008B455E" w:rsidRPr="008B455E" w:rsidRDefault="008B455E" w:rsidP="008B455E">
      <w:pPr>
        <w:pStyle w:val="a8"/>
        <w:shd w:val="clear" w:color="auto" w:fill="auto"/>
        <w:rPr>
          <w:b/>
          <w:bCs/>
        </w:rPr>
      </w:pPr>
      <w:r w:rsidRPr="008B455E">
        <w:rPr>
          <w:b/>
          <w:bCs/>
        </w:rPr>
        <w:t>ПРИМІРНА ІНСТРУКЦІЯ</w:t>
      </w:r>
    </w:p>
    <w:p w:rsidR="008B455E" w:rsidRPr="008B455E" w:rsidRDefault="008B455E" w:rsidP="008B455E">
      <w:pPr>
        <w:pStyle w:val="a8"/>
        <w:shd w:val="clear" w:color="auto" w:fill="auto"/>
        <w:rPr>
          <w:b/>
          <w:bCs/>
        </w:rPr>
      </w:pPr>
      <w:r w:rsidRPr="008B455E">
        <w:rPr>
          <w:b/>
          <w:bCs/>
        </w:rPr>
        <w:t>щодо діяльності пунктів незламності</w:t>
      </w:r>
    </w:p>
    <w:p w:rsidR="008B455E" w:rsidRDefault="008B455E" w:rsidP="009257DD">
      <w:pPr>
        <w:pStyle w:val="a8"/>
        <w:shd w:val="clear" w:color="auto" w:fill="auto"/>
      </w:pPr>
    </w:p>
    <w:p w:rsidR="008B455E" w:rsidRDefault="008B455E" w:rsidP="009257DD">
      <w:pPr>
        <w:pStyle w:val="1"/>
        <w:numPr>
          <w:ilvl w:val="0"/>
          <w:numId w:val="3"/>
        </w:numPr>
        <w:shd w:val="clear" w:color="auto" w:fill="auto"/>
        <w:tabs>
          <w:tab w:val="left" w:pos="918"/>
        </w:tabs>
        <w:ind w:firstLine="580"/>
        <w:jc w:val="both"/>
      </w:pPr>
      <w:r>
        <w:t>Розгортання пунктів незламності здійснюється шляхом здійснення таких заходів:</w:t>
      </w:r>
    </w:p>
    <w:p w:rsidR="008B455E" w:rsidRDefault="008B455E" w:rsidP="009257DD">
      <w:pPr>
        <w:pStyle w:val="1"/>
        <w:shd w:val="clear" w:color="auto" w:fill="auto"/>
        <w:ind w:firstLine="580"/>
        <w:jc w:val="both"/>
      </w:pPr>
      <w:r>
        <w:t>- визначення місця розгортання пункту незламності;</w:t>
      </w:r>
    </w:p>
    <w:p w:rsidR="008B455E" w:rsidRDefault="008B455E" w:rsidP="009257DD">
      <w:pPr>
        <w:pStyle w:val="1"/>
        <w:shd w:val="clear" w:color="auto" w:fill="auto"/>
        <w:ind w:firstLine="580"/>
        <w:jc w:val="both"/>
      </w:pPr>
      <w:r>
        <w:t xml:space="preserve">- облаштування пункту незламності, підключення генератора, систем освітлення, технічних засобів доступу до Інтернету, опалювальних приладів, засобів для приготування гарячих напоїв та їжі, формування резерву питної води (термоси, </w:t>
      </w:r>
      <w:proofErr w:type="spellStart"/>
      <w:r>
        <w:t>термопоти</w:t>
      </w:r>
      <w:proofErr w:type="spellEnd"/>
      <w:r>
        <w:t>);</w:t>
      </w:r>
    </w:p>
    <w:p w:rsidR="008B455E" w:rsidRDefault="008B455E" w:rsidP="009257DD">
      <w:pPr>
        <w:pStyle w:val="1"/>
        <w:shd w:val="clear" w:color="auto" w:fill="auto"/>
        <w:ind w:firstLine="580"/>
        <w:jc w:val="both"/>
      </w:pPr>
      <w:r>
        <w:t xml:space="preserve">- інформування локальних операторів електронних комунікацій щодо необхідності підтримання роботи мережі широкосмугового доступу (технологія </w:t>
      </w:r>
      <w:r>
        <w:rPr>
          <w:lang w:val="en-US" w:bidi="en-US"/>
        </w:rPr>
        <w:t>Wi</w:t>
      </w:r>
      <w:r w:rsidRPr="00F229FD">
        <w:rPr>
          <w:lang w:bidi="en-US"/>
        </w:rPr>
        <w:t>-</w:t>
      </w:r>
      <w:r>
        <w:rPr>
          <w:lang w:val="en-US" w:bidi="en-US"/>
        </w:rPr>
        <w:t>Fi</w:t>
      </w:r>
      <w:r w:rsidRPr="00F229FD">
        <w:rPr>
          <w:lang w:bidi="en-US"/>
        </w:rPr>
        <w:t xml:space="preserve">) </w:t>
      </w:r>
      <w:r>
        <w:t>для відвідувачів;</w:t>
      </w:r>
    </w:p>
    <w:p w:rsidR="008B455E" w:rsidRDefault="008B455E" w:rsidP="009257DD">
      <w:pPr>
        <w:pStyle w:val="1"/>
        <w:shd w:val="clear" w:color="auto" w:fill="auto"/>
        <w:ind w:firstLine="580"/>
        <w:jc w:val="both"/>
      </w:pPr>
      <w:r>
        <w:t>- облаштування зон особистої гігієни (туалети);</w:t>
      </w:r>
    </w:p>
    <w:p w:rsidR="008B455E" w:rsidRDefault="008B455E" w:rsidP="009257DD">
      <w:pPr>
        <w:pStyle w:val="1"/>
        <w:shd w:val="clear" w:color="auto" w:fill="auto"/>
        <w:ind w:firstLine="580"/>
        <w:jc w:val="both"/>
      </w:pPr>
      <w:r>
        <w:t>- увімкнення вуличних світлових приладів для освітлення майданчика чи території перед пунктами незламності у темну пору доби;</w:t>
      </w:r>
    </w:p>
    <w:p w:rsidR="008B455E" w:rsidRDefault="008B455E" w:rsidP="009257DD">
      <w:pPr>
        <w:pStyle w:val="1"/>
        <w:shd w:val="clear" w:color="auto" w:fill="auto"/>
        <w:ind w:firstLine="580"/>
        <w:jc w:val="both"/>
      </w:pPr>
      <w:r>
        <w:t xml:space="preserve">- розміщення інформаційних матеріалів про відкриття пунктів незламності, їх адресу, контакти та дані відповідальних осіб на сайтах відповідних суб'єктів, передбачених пунктом </w:t>
      </w:r>
      <w:r w:rsidRPr="00F229FD">
        <w:rPr>
          <w:lang w:bidi="en-US"/>
        </w:rPr>
        <w:t xml:space="preserve">4 </w:t>
      </w:r>
      <w:r>
        <w:t>Порядку організації та функціонування пунктів незламності, у соціальних мережах та месенджерах, засобах масової інформації, дошках оголошень, місцях скупчення людей (у магазинах, на зупинках тощо);</w:t>
      </w:r>
    </w:p>
    <w:p w:rsidR="008B455E" w:rsidRDefault="008B455E" w:rsidP="009257DD">
      <w:pPr>
        <w:pStyle w:val="1"/>
        <w:shd w:val="clear" w:color="auto" w:fill="auto"/>
        <w:ind w:firstLine="580"/>
        <w:jc w:val="both"/>
      </w:pPr>
      <w:r>
        <w:t>- розміщення табличок-вказівників з напрямком руху до пунктів незламності;</w:t>
      </w:r>
    </w:p>
    <w:p w:rsidR="008B455E" w:rsidRDefault="008B455E" w:rsidP="009257DD">
      <w:pPr>
        <w:pStyle w:val="1"/>
        <w:shd w:val="clear" w:color="auto" w:fill="auto"/>
        <w:ind w:firstLine="580"/>
        <w:jc w:val="both"/>
      </w:pPr>
      <w:r>
        <w:t>- перевірки пунктів незламності на працездатність.</w:t>
      </w:r>
    </w:p>
    <w:p w:rsidR="008B455E" w:rsidRDefault="008B455E" w:rsidP="009257DD">
      <w:pPr>
        <w:pStyle w:val="1"/>
        <w:numPr>
          <w:ilvl w:val="0"/>
          <w:numId w:val="3"/>
        </w:numPr>
        <w:shd w:val="clear" w:color="auto" w:fill="auto"/>
        <w:tabs>
          <w:tab w:val="left" w:pos="918"/>
        </w:tabs>
        <w:ind w:firstLine="580"/>
        <w:jc w:val="both"/>
      </w:pPr>
      <w:r>
        <w:t>Міністерствами, центральними органами виконавчої влади та їх територіальними органами, обласними, Київською міською держадміністраціями (військовими адміністраціями) та органами місцевого самоврядування, суб'єктами господарювання державної та приватної форми власності (за згодою) організовується цілодобове чергування за функціонуванням пункту незламності, в яке входить:</w:t>
      </w:r>
    </w:p>
    <w:p w:rsidR="008B455E" w:rsidRDefault="008B455E" w:rsidP="009257DD">
      <w:pPr>
        <w:pStyle w:val="1"/>
        <w:shd w:val="clear" w:color="auto" w:fill="auto"/>
        <w:ind w:firstLine="580"/>
        <w:jc w:val="both"/>
      </w:pPr>
      <w:r>
        <w:t>- обслуговування устаткування (засобів автономної генерації електроенергії, автономного освітлення та опалення, доступу до Інтернету тощо) для забезпечення функціонування та безперервної роботи пункту незламності;</w:t>
      </w:r>
    </w:p>
    <w:p w:rsidR="008B455E" w:rsidRDefault="008B455E" w:rsidP="009257DD">
      <w:pPr>
        <w:pStyle w:val="1"/>
        <w:shd w:val="clear" w:color="auto" w:fill="auto"/>
        <w:spacing w:after="0"/>
        <w:ind w:firstLine="580"/>
        <w:jc w:val="both"/>
      </w:pPr>
      <w:r>
        <w:t>- здійснення контролю за дотриманням правил пожежної безпеки та санітарно-гігієнічних норм у пункті незламності;</w:t>
      </w:r>
    </w:p>
    <w:p w:rsidR="008B455E" w:rsidRDefault="008B455E" w:rsidP="009257DD">
      <w:pPr>
        <w:sectPr w:rsidR="008B455E" w:rsidSect="008B455E">
          <w:pgSz w:w="11900" w:h="16840"/>
          <w:pgMar w:top="1135" w:right="843" w:bottom="360" w:left="1701" w:header="0" w:footer="3" w:gutter="0"/>
          <w:cols w:space="720"/>
          <w:noEndnote/>
          <w:docGrid w:linePitch="360"/>
        </w:sectPr>
      </w:pPr>
    </w:p>
    <w:p w:rsidR="008B455E" w:rsidRDefault="008B455E" w:rsidP="009257DD"/>
    <w:p w:rsidR="008B455E" w:rsidRDefault="008B455E" w:rsidP="009257DD">
      <w:pPr>
        <w:pStyle w:val="a8"/>
        <w:shd w:val="clear" w:color="auto" w:fill="auto"/>
        <w:jc w:val="right"/>
        <w:rPr>
          <w:lang w:bidi="en-US"/>
        </w:rPr>
      </w:pPr>
    </w:p>
    <w:p w:rsidR="008B455E" w:rsidRDefault="008B455E" w:rsidP="009257DD">
      <w:pPr>
        <w:pStyle w:val="a8"/>
        <w:shd w:val="clear" w:color="auto" w:fill="auto"/>
        <w:jc w:val="right"/>
        <w:rPr>
          <w:lang w:bidi="en-US"/>
        </w:rPr>
      </w:pPr>
    </w:p>
    <w:p w:rsidR="008B455E" w:rsidRDefault="008B455E" w:rsidP="009257DD">
      <w:pPr>
        <w:pStyle w:val="a8"/>
        <w:shd w:val="clear" w:color="auto" w:fill="auto"/>
        <w:jc w:val="right"/>
        <w:rPr>
          <w:lang w:bidi="en-US"/>
        </w:rPr>
      </w:pPr>
      <w:r w:rsidRPr="00F229FD">
        <w:rPr>
          <w:lang w:bidi="en-US"/>
        </w:rPr>
        <w:t xml:space="preserve"> </w:t>
      </w:r>
      <w:r>
        <w:t xml:space="preserve">Продовження додатка </w:t>
      </w:r>
      <w:r w:rsidRPr="00F229FD">
        <w:rPr>
          <w:lang w:bidi="en-US"/>
        </w:rPr>
        <w:t>1</w:t>
      </w:r>
    </w:p>
    <w:p w:rsidR="008B455E" w:rsidRDefault="008B455E" w:rsidP="009257DD">
      <w:pPr>
        <w:pStyle w:val="a8"/>
        <w:shd w:val="clear" w:color="auto" w:fill="auto"/>
        <w:jc w:val="right"/>
        <w:rPr>
          <w:lang w:bidi="en-US"/>
        </w:rPr>
      </w:pPr>
    </w:p>
    <w:p w:rsidR="008B455E" w:rsidRDefault="008B455E" w:rsidP="009257DD">
      <w:pPr>
        <w:pStyle w:val="a8"/>
        <w:shd w:val="clear" w:color="auto" w:fill="auto"/>
        <w:jc w:val="right"/>
      </w:pPr>
    </w:p>
    <w:p w:rsidR="008B455E" w:rsidRDefault="008B455E" w:rsidP="009257DD">
      <w:pPr>
        <w:pStyle w:val="1"/>
        <w:shd w:val="clear" w:color="auto" w:fill="auto"/>
        <w:spacing w:after="120"/>
        <w:ind w:firstLine="580"/>
        <w:jc w:val="both"/>
      </w:pPr>
      <w:r>
        <w:t>- організація санітарної обробки приміщень, поповнення обсягів питної води та продуктів харчування;</w:t>
      </w:r>
    </w:p>
    <w:p w:rsidR="008B455E" w:rsidRDefault="008B455E" w:rsidP="009257DD">
      <w:pPr>
        <w:pStyle w:val="1"/>
        <w:shd w:val="clear" w:color="auto" w:fill="auto"/>
        <w:spacing w:after="120"/>
        <w:ind w:firstLine="580"/>
        <w:jc w:val="both"/>
      </w:pPr>
      <w:r>
        <w:t>- збереження майна та обладнання;</w:t>
      </w:r>
    </w:p>
    <w:p w:rsidR="008B455E" w:rsidRDefault="008B455E" w:rsidP="009257DD">
      <w:pPr>
        <w:pStyle w:val="1"/>
        <w:shd w:val="clear" w:color="auto" w:fill="auto"/>
        <w:spacing w:after="120"/>
        <w:ind w:firstLine="580"/>
        <w:jc w:val="both"/>
      </w:pPr>
      <w:r>
        <w:t>- ведення обліку відвідувачів пункту незламності шляхом заповнення журналу в довільній формі;</w:t>
      </w:r>
    </w:p>
    <w:p w:rsidR="008B455E" w:rsidRDefault="008B455E" w:rsidP="009257DD">
      <w:pPr>
        <w:pStyle w:val="1"/>
        <w:shd w:val="clear" w:color="auto" w:fill="auto"/>
        <w:spacing w:after="120"/>
        <w:ind w:firstLine="580"/>
        <w:jc w:val="both"/>
      </w:pPr>
      <w:r>
        <w:t>- взаємодія з екстреними службами;</w:t>
      </w:r>
    </w:p>
    <w:p w:rsidR="008B455E" w:rsidRDefault="008B455E" w:rsidP="009257DD">
      <w:pPr>
        <w:pStyle w:val="1"/>
        <w:shd w:val="clear" w:color="auto" w:fill="auto"/>
        <w:spacing w:after="120"/>
        <w:ind w:firstLine="580"/>
        <w:jc w:val="both"/>
      </w:pPr>
      <w:r>
        <w:t>- інформування відвідувачів щодо місць розміщення найближчих пунктів незламності, укриттів, а також закладів охорони здоров'я.</w:t>
      </w:r>
    </w:p>
    <w:p w:rsidR="008B455E" w:rsidRDefault="008B455E" w:rsidP="009257DD">
      <w:pPr>
        <w:pStyle w:val="1"/>
        <w:numPr>
          <w:ilvl w:val="0"/>
          <w:numId w:val="3"/>
        </w:numPr>
        <w:shd w:val="clear" w:color="auto" w:fill="auto"/>
        <w:tabs>
          <w:tab w:val="left" w:pos="567"/>
        </w:tabs>
        <w:spacing w:after="0"/>
        <w:ind w:firstLine="567"/>
        <w:jc w:val="both"/>
      </w:pPr>
      <w:r>
        <w:t>У пунктах незламності можуть облаштовуватися такі зони: адміністративна для перебування чергового персоналу;</w:t>
      </w:r>
    </w:p>
    <w:p w:rsidR="008B455E" w:rsidRDefault="00294AFB" w:rsidP="009257DD">
      <w:pPr>
        <w:pStyle w:val="1"/>
        <w:shd w:val="clear" w:color="auto" w:fill="auto"/>
        <w:spacing w:after="120"/>
        <w:ind w:firstLine="580"/>
        <w:jc w:val="both"/>
      </w:pPr>
      <w:r>
        <w:t xml:space="preserve">- </w:t>
      </w:r>
      <w:r w:rsidR="008B455E">
        <w:t>технічна для розміщення обладнання, запасів матеріально-технічних засобів, продуктів харчування, питної води тощо;</w:t>
      </w:r>
    </w:p>
    <w:p w:rsidR="008B455E" w:rsidRDefault="00294AFB" w:rsidP="009257DD">
      <w:pPr>
        <w:pStyle w:val="1"/>
        <w:shd w:val="clear" w:color="auto" w:fill="auto"/>
        <w:spacing w:after="120"/>
        <w:ind w:firstLine="580"/>
        <w:jc w:val="both"/>
      </w:pPr>
      <w:r>
        <w:t xml:space="preserve">- </w:t>
      </w:r>
      <w:r w:rsidR="008B455E">
        <w:t>перебування відвідувачів та зарядки мобільних пристроїв;</w:t>
      </w:r>
    </w:p>
    <w:p w:rsidR="008B455E" w:rsidRDefault="00294AFB" w:rsidP="009257DD">
      <w:pPr>
        <w:pStyle w:val="1"/>
        <w:shd w:val="clear" w:color="auto" w:fill="auto"/>
        <w:spacing w:after="120"/>
        <w:ind w:firstLine="580"/>
        <w:jc w:val="both"/>
      </w:pPr>
      <w:r>
        <w:t xml:space="preserve">- </w:t>
      </w:r>
      <w:r w:rsidR="008B455E">
        <w:t>розміщення маломобільних громадян та осіб із спеціальними потребами та роботи представників соціальних служб;</w:t>
      </w:r>
    </w:p>
    <w:p w:rsidR="008B455E" w:rsidRDefault="00294AFB" w:rsidP="009257DD">
      <w:pPr>
        <w:pStyle w:val="1"/>
        <w:shd w:val="clear" w:color="auto" w:fill="auto"/>
        <w:spacing w:after="120"/>
        <w:ind w:firstLine="580"/>
        <w:jc w:val="both"/>
      </w:pPr>
      <w:r>
        <w:t xml:space="preserve">- </w:t>
      </w:r>
      <w:r w:rsidR="008B455E">
        <w:t>матері та дитини;</w:t>
      </w:r>
    </w:p>
    <w:p w:rsidR="008B455E" w:rsidRDefault="00294AFB" w:rsidP="009257DD">
      <w:pPr>
        <w:pStyle w:val="1"/>
        <w:shd w:val="clear" w:color="auto" w:fill="auto"/>
        <w:spacing w:after="120"/>
        <w:ind w:firstLine="580"/>
        <w:jc w:val="both"/>
      </w:pPr>
      <w:r>
        <w:t xml:space="preserve">- </w:t>
      </w:r>
      <w:r w:rsidR="008B455E">
        <w:t>приготування та споживання їжі (за можливості).</w:t>
      </w:r>
    </w:p>
    <w:p w:rsidR="008B455E" w:rsidRDefault="008B455E" w:rsidP="009257DD">
      <w:pPr>
        <w:pStyle w:val="1"/>
        <w:numPr>
          <w:ilvl w:val="0"/>
          <w:numId w:val="3"/>
        </w:numPr>
        <w:shd w:val="clear" w:color="auto" w:fill="auto"/>
        <w:tabs>
          <w:tab w:val="left" w:pos="962"/>
        </w:tabs>
        <w:spacing w:after="120"/>
        <w:ind w:firstLine="580"/>
        <w:jc w:val="both"/>
      </w:pPr>
      <w:r>
        <w:t>Функціонування пунктів незламності здійснюється відповідно до вимог пожежної безпеки, санітарно-епідеміологічних норм та вимог безпечного користування енергогенеруючими приладами.</w:t>
      </w:r>
    </w:p>
    <w:p w:rsidR="008B455E" w:rsidRDefault="008B455E" w:rsidP="009257DD">
      <w:pPr>
        <w:pStyle w:val="1"/>
        <w:numPr>
          <w:ilvl w:val="0"/>
          <w:numId w:val="3"/>
        </w:numPr>
        <w:shd w:val="clear" w:color="auto" w:fill="auto"/>
        <w:tabs>
          <w:tab w:val="left" w:pos="962"/>
        </w:tabs>
        <w:spacing w:after="120"/>
        <w:ind w:firstLine="580"/>
        <w:jc w:val="both"/>
      </w:pPr>
      <w:r>
        <w:t>Пункти незламності забезпечуються запасами пально-мастильних матеріалів, інших матеріально-технічних засобів, питної води для забезпечення автономного функціонування не менше трьох діб.</w:t>
      </w:r>
    </w:p>
    <w:p w:rsidR="008B455E" w:rsidRDefault="008B455E" w:rsidP="009257DD">
      <w:pPr>
        <w:pStyle w:val="1"/>
        <w:numPr>
          <w:ilvl w:val="0"/>
          <w:numId w:val="3"/>
        </w:numPr>
        <w:shd w:val="clear" w:color="auto" w:fill="auto"/>
        <w:tabs>
          <w:tab w:val="left" w:pos="962"/>
        </w:tabs>
        <w:spacing w:after="120"/>
        <w:ind w:firstLine="580"/>
        <w:jc w:val="both"/>
      </w:pPr>
      <w:r>
        <w:t xml:space="preserve">За рішенням відповідних суб'єктів, передбачених пунктом </w:t>
      </w:r>
      <w:r w:rsidRPr="00F229FD">
        <w:rPr>
          <w:lang w:bidi="en-US"/>
        </w:rPr>
        <w:t xml:space="preserve">4 </w:t>
      </w:r>
      <w:r>
        <w:t>Порядку організації та функціонування пунктів незламності, до чергування (роботи) на пунктах незламності можуть залучатися медичні працівники, психологи, соціальні працівники, громадські організації та волонтери.</w:t>
      </w:r>
    </w:p>
    <w:p w:rsidR="008B455E" w:rsidRDefault="008B455E" w:rsidP="009257DD">
      <w:pPr>
        <w:pStyle w:val="1"/>
        <w:numPr>
          <w:ilvl w:val="0"/>
          <w:numId w:val="3"/>
        </w:numPr>
        <w:shd w:val="clear" w:color="auto" w:fill="auto"/>
        <w:tabs>
          <w:tab w:val="left" w:pos="962"/>
        </w:tabs>
        <w:spacing w:after="120"/>
        <w:ind w:firstLine="580"/>
        <w:jc w:val="both"/>
      </w:pPr>
      <w:r>
        <w:t>Охорона та забезпечення громадської безпеки в місцях функціонування пунктів незламності здійснюється силами Національної поліції, добровольчих формувань територіальних громад (у разі їх утворення), служб охорони тощо.</w:t>
      </w:r>
    </w:p>
    <w:p w:rsidR="008B455E" w:rsidRDefault="008B455E" w:rsidP="009257DD">
      <w:pPr>
        <w:pStyle w:val="1"/>
        <w:numPr>
          <w:ilvl w:val="0"/>
          <w:numId w:val="3"/>
        </w:numPr>
        <w:shd w:val="clear" w:color="auto" w:fill="auto"/>
        <w:tabs>
          <w:tab w:val="left" w:pos="962"/>
        </w:tabs>
        <w:spacing w:after="0"/>
        <w:ind w:firstLine="580"/>
        <w:jc w:val="both"/>
      </w:pPr>
      <w:r>
        <w:t>Паління, вживання алкогольних напоїв та наркотичних речовин, а також перебування осіб у стані алкогольного чи наркотичного сп'яніння в пунктах незламності забороняється.</w:t>
      </w:r>
    </w:p>
    <w:p w:rsidR="008B455E" w:rsidRDefault="008B455E" w:rsidP="008B455E">
      <w:pPr>
        <w:spacing w:line="1" w:lineRule="exact"/>
        <w:sectPr w:rsidR="008B455E" w:rsidSect="00F229FD">
          <w:pgSz w:w="11900" w:h="16840"/>
          <w:pgMar w:top="360" w:right="843" w:bottom="360" w:left="1701" w:header="0" w:footer="3" w:gutter="0"/>
          <w:cols w:space="720"/>
          <w:noEndnote/>
          <w:docGrid w:linePitch="360"/>
        </w:sectPr>
      </w:pPr>
    </w:p>
    <w:p w:rsidR="008B455E" w:rsidRDefault="008B455E" w:rsidP="008B455E">
      <w:pPr>
        <w:spacing w:line="1" w:lineRule="exact"/>
      </w:pPr>
    </w:p>
    <w:p w:rsidR="008B455E" w:rsidRDefault="008B455E" w:rsidP="008B455E">
      <w:pPr>
        <w:pStyle w:val="a8"/>
        <w:shd w:val="clear" w:color="auto" w:fill="auto"/>
        <w:ind w:right="780"/>
        <w:jc w:val="right"/>
      </w:pPr>
      <w:r>
        <w:t xml:space="preserve">Додаток </w:t>
      </w:r>
      <w:r w:rsidRPr="00F229FD">
        <w:rPr>
          <w:lang w:val="ru-RU" w:bidi="en-US"/>
        </w:rPr>
        <w:t>2</w:t>
      </w:r>
    </w:p>
    <w:p w:rsidR="008B455E" w:rsidRDefault="008B455E" w:rsidP="008B455E">
      <w:pPr>
        <w:pStyle w:val="a8"/>
        <w:shd w:val="clear" w:color="auto" w:fill="auto"/>
        <w:ind w:left="7371"/>
        <w:jc w:val="left"/>
      </w:pPr>
      <w:r>
        <w:t>до Порядку</w:t>
      </w:r>
    </w:p>
    <w:p w:rsidR="008B455E" w:rsidRDefault="008B455E" w:rsidP="008B455E">
      <w:pPr>
        <w:pStyle w:val="a8"/>
        <w:shd w:val="clear" w:color="auto" w:fill="auto"/>
        <w:ind w:left="7371"/>
        <w:jc w:val="left"/>
      </w:pPr>
    </w:p>
    <w:p w:rsidR="008B455E" w:rsidRPr="00294AFB" w:rsidRDefault="008B455E" w:rsidP="008B455E">
      <w:pPr>
        <w:pStyle w:val="1"/>
        <w:shd w:val="clear" w:color="auto" w:fill="auto"/>
        <w:spacing w:after="360"/>
        <w:ind w:firstLine="0"/>
        <w:jc w:val="center"/>
        <w:rPr>
          <w:b/>
          <w:bCs/>
        </w:rPr>
      </w:pPr>
      <w:r w:rsidRPr="00294AFB">
        <w:rPr>
          <w:b/>
          <w:bCs/>
        </w:rPr>
        <w:t>ПРИМІРНИЙ ПЕРЕЛІК</w:t>
      </w:r>
      <w:r w:rsidRPr="00294AFB">
        <w:rPr>
          <w:b/>
          <w:bCs/>
        </w:rPr>
        <w:br/>
        <w:t>комплектації пунктів незламності</w:t>
      </w:r>
    </w:p>
    <w:p w:rsidR="008B455E" w:rsidRDefault="008B455E" w:rsidP="008B455E">
      <w:pPr>
        <w:pStyle w:val="1"/>
        <w:numPr>
          <w:ilvl w:val="0"/>
          <w:numId w:val="4"/>
        </w:numPr>
        <w:shd w:val="clear" w:color="auto" w:fill="auto"/>
        <w:tabs>
          <w:tab w:val="left" w:pos="991"/>
        </w:tabs>
        <w:spacing w:after="120"/>
        <w:ind w:firstLine="580"/>
        <w:jc w:val="both"/>
      </w:pPr>
      <w:r>
        <w:t>Засоби автономної генерації електроенергії:</w:t>
      </w:r>
    </w:p>
    <w:p w:rsidR="008B455E" w:rsidRDefault="008B455E" w:rsidP="008B455E">
      <w:pPr>
        <w:pStyle w:val="1"/>
        <w:numPr>
          <w:ilvl w:val="0"/>
          <w:numId w:val="5"/>
        </w:numPr>
        <w:shd w:val="clear" w:color="auto" w:fill="auto"/>
        <w:tabs>
          <w:tab w:val="left" w:pos="997"/>
        </w:tabs>
        <w:spacing w:after="120"/>
        <w:ind w:firstLine="580"/>
        <w:jc w:val="both"/>
      </w:pPr>
      <w:r>
        <w:t>генератори з комплектами кабелів відповідної потужності для функціонування пункту незламності;</w:t>
      </w:r>
    </w:p>
    <w:p w:rsidR="008B455E" w:rsidRDefault="008B455E" w:rsidP="008B455E">
      <w:pPr>
        <w:pStyle w:val="1"/>
        <w:numPr>
          <w:ilvl w:val="0"/>
          <w:numId w:val="5"/>
        </w:numPr>
        <w:shd w:val="clear" w:color="auto" w:fill="auto"/>
        <w:tabs>
          <w:tab w:val="left" w:pos="997"/>
        </w:tabs>
        <w:spacing w:after="120"/>
        <w:ind w:firstLine="580"/>
        <w:jc w:val="both"/>
      </w:pPr>
      <w:r>
        <w:t xml:space="preserve">мережеві подовжувачі у кількості, достатній для одночасної зарядки не менше </w:t>
      </w:r>
      <w:r w:rsidRPr="00F229FD">
        <w:rPr>
          <w:lang w:val="ru-RU" w:bidi="en-US"/>
        </w:rPr>
        <w:t xml:space="preserve">50 </w:t>
      </w:r>
      <w:r>
        <w:t>мобільних пристроїв;</w:t>
      </w:r>
    </w:p>
    <w:p w:rsidR="008B455E" w:rsidRDefault="008B455E" w:rsidP="008B455E">
      <w:pPr>
        <w:pStyle w:val="1"/>
        <w:numPr>
          <w:ilvl w:val="0"/>
          <w:numId w:val="5"/>
        </w:numPr>
        <w:shd w:val="clear" w:color="auto" w:fill="auto"/>
        <w:tabs>
          <w:tab w:val="left" w:pos="1010"/>
        </w:tabs>
        <w:spacing w:after="120"/>
        <w:ind w:firstLine="580"/>
        <w:jc w:val="both"/>
      </w:pPr>
      <w:r>
        <w:t>запаси пально-мастильних матеріалів.</w:t>
      </w:r>
    </w:p>
    <w:p w:rsidR="008B455E" w:rsidRDefault="008B455E" w:rsidP="008B455E">
      <w:pPr>
        <w:pStyle w:val="1"/>
        <w:numPr>
          <w:ilvl w:val="0"/>
          <w:numId w:val="4"/>
        </w:numPr>
        <w:shd w:val="clear" w:color="auto" w:fill="auto"/>
        <w:tabs>
          <w:tab w:val="left" w:pos="991"/>
        </w:tabs>
        <w:spacing w:after="120"/>
        <w:ind w:firstLine="580"/>
        <w:jc w:val="both"/>
      </w:pPr>
      <w:r>
        <w:t>Засоби освітлення:</w:t>
      </w:r>
    </w:p>
    <w:p w:rsidR="008B455E" w:rsidRDefault="008B455E" w:rsidP="008B455E">
      <w:pPr>
        <w:pStyle w:val="1"/>
        <w:shd w:val="clear" w:color="auto" w:fill="auto"/>
        <w:spacing w:after="120"/>
        <w:ind w:firstLine="580"/>
        <w:jc w:val="both"/>
      </w:pPr>
      <w:r w:rsidRPr="00F229FD">
        <w:rPr>
          <w:lang w:val="ru-RU" w:bidi="en-US"/>
        </w:rPr>
        <w:t xml:space="preserve">1) </w:t>
      </w:r>
      <w:r>
        <w:t>вуличні світлові прилади для освітлення майданчика чи території перед пунктом незламності;</w:t>
      </w:r>
    </w:p>
    <w:p w:rsidR="008B455E" w:rsidRDefault="008B455E" w:rsidP="008B455E">
      <w:pPr>
        <w:pStyle w:val="1"/>
        <w:shd w:val="clear" w:color="auto" w:fill="auto"/>
        <w:spacing w:after="120"/>
        <w:ind w:firstLine="580"/>
        <w:jc w:val="both"/>
      </w:pPr>
      <w:r w:rsidRPr="00F229FD">
        <w:rPr>
          <w:lang w:val="ru-RU" w:bidi="en-US"/>
        </w:rPr>
        <w:t xml:space="preserve">2) </w:t>
      </w:r>
      <w:r>
        <w:t>комплекти освітлення приміщень пункту незламності у кількості, достатній для його належної роботи.</w:t>
      </w:r>
    </w:p>
    <w:p w:rsidR="008B455E" w:rsidRDefault="008B455E" w:rsidP="008B455E">
      <w:pPr>
        <w:pStyle w:val="1"/>
        <w:numPr>
          <w:ilvl w:val="0"/>
          <w:numId w:val="4"/>
        </w:numPr>
        <w:shd w:val="clear" w:color="auto" w:fill="auto"/>
        <w:tabs>
          <w:tab w:val="left" w:pos="978"/>
        </w:tabs>
        <w:spacing w:after="120"/>
        <w:ind w:firstLine="580"/>
        <w:jc w:val="both"/>
      </w:pPr>
      <w:r>
        <w:t xml:space="preserve">Засоби автономного опалення (твердопаливні котли (печі, </w:t>
      </w:r>
      <w:proofErr w:type="spellStart"/>
      <w:r>
        <w:t>булер'яни</w:t>
      </w:r>
      <w:proofErr w:type="spellEnd"/>
      <w:r>
        <w:t>), теплові пушки, конвектори, обігрівачі тощо).</w:t>
      </w:r>
    </w:p>
    <w:p w:rsidR="008B455E" w:rsidRDefault="008B455E" w:rsidP="008B455E">
      <w:pPr>
        <w:pStyle w:val="1"/>
        <w:numPr>
          <w:ilvl w:val="0"/>
          <w:numId w:val="4"/>
        </w:numPr>
        <w:shd w:val="clear" w:color="auto" w:fill="auto"/>
        <w:tabs>
          <w:tab w:val="left" w:pos="978"/>
        </w:tabs>
        <w:spacing w:after="120"/>
        <w:ind w:firstLine="580"/>
        <w:jc w:val="both"/>
      </w:pPr>
      <w:r>
        <w:t xml:space="preserve">Технічні засоби доступу до Інтернету за допомогою підключення до місцевих операторів електронних комунікацій через термінали супутникового зв'язку </w:t>
      </w:r>
      <w:proofErr w:type="spellStart"/>
      <w:r>
        <w:rPr>
          <w:lang w:val="en-US" w:bidi="en-US"/>
        </w:rPr>
        <w:t>Starlink</w:t>
      </w:r>
      <w:proofErr w:type="spellEnd"/>
      <w:r w:rsidRPr="00F229FD">
        <w:rPr>
          <w:lang w:bidi="en-US"/>
        </w:rPr>
        <w:t xml:space="preserve"> </w:t>
      </w:r>
      <w:r>
        <w:t>(іншого виду супутникового зв'язку) або інші засоби зв'язку.</w:t>
      </w:r>
    </w:p>
    <w:p w:rsidR="008B455E" w:rsidRDefault="008B455E" w:rsidP="008B455E">
      <w:pPr>
        <w:pStyle w:val="1"/>
        <w:numPr>
          <w:ilvl w:val="0"/>
          <w:numId w:val="4"/>
        </w:numPr>
        <w:shd w:val="clear" w:color="auto" w:fill="auto"/>
        <w:tabs>
          <w:tab w:val="left" w:pos="991"/>
        </w:tabs>
        <w:spacing w:after="120"/>
        <w:ind w:firstLine="580"/>
        <w:jc w:val="both"/>
      </w:pPr>
      <w:r>
        <w:t>Аптечки в кількості, достатній для надання домедичної допомоги.</w:t>
      </w:r>
    </w:p>
    <w:p w:rsidR="008B455E" w:rsidRDefault="008B455E" w:rsidP="008B455E">
      <w:pPr>
        <w:pStyle w:val="1"/>
        <w:numPr>
          <w:ilvl w:val="0"/>
          <w:numId w:val="4"/>
        </w:numPr>
        <w:shd w:val="clear" w:color="auto" w:fill="auto"/>
        <w:tabs>
          <w:tab w:val="left" w:pos="991"/>
        </w:tabs>
        <w:spacing w:after="120"/>
        <w:ind w:firstLine="580"/>
        <w:jc w:val="both"/>
      </w:pPr>
      <w:r>
        <w:t>Інформаційні та роздаткові матеріали:</w:t>
      </w:r>
    </w:p>
    <w:p w:rsidR="008B455E" w:rsidRDefault="008B455E" w:rsidP="008B455E">
      <w:pPr>
        <w:pStyle w:val="1"/>
        <w:numPr>
          <w:ilvl w:val="0"/>
          <w:numId w:val="6"/>
        </w:numPr>
        <w:shd w:val="clear" w:color="auto" w:fill="auto"/>
        <w:tabs>
          <w:tab w:val="left" w:pos="992"/>
        </w:tabs>
        <w:spacing w:after="120"/>
        <w:ind w:firstLine="580"/>
        <w:jc w:val="both"/>
      </w:pPr>
      <w:r>
        <w:t>інструкції для населення щодо порядку дій у разі повітряної’ тривоги та порушення роботи систем життєзабезпечення з урахуванням всіх можливих ризиків;</w:t>
      </w:r>
    </w:p>
    <w:p w:rsidR="008B455E" w:rsidRDefault="008B455E" w:rsidP="008B455E">
      <w:pPr>
        <w:pStyle w:val="1"/>
        <w:numPr>
          <w:ilvl w:val="0"/>
          <w:numId w:val="6"/>
        </w:numPr>
        <w:shd w:val="clear" w:color="auto" w:fill="auto"/>
        <w:tabs>
          <w:tab w:val="left" w:pos="997"/>
        </w:tabs>
        <w:spacing w:after="120"/>
        <w:ind w:firstLine="580"/>
        <w:jc w:val="both"/>
      </w:pPr>
      <w:r>
        <w:t>покажчики з адресами розміщення найближчих укриттів, мережевих магазинів, автозаправних станцій, банківських установ, закладів громадського харчування, які працюють на альтернативному живленні тощо.</w:t>
      </w:r>
    </w:p>
    <w:p w:rsidR="008B455E" w:rsidRDefault="008B455E" w:rsidP="008B455E">
      <w:pPr>
        <w:pStyle w:val="1"/>
        <w:numPr>
          <w:ilvl w:val="0"/>
          <w:numId w:val="4"/>
        </w:numPr>
        <w:shd w:val="clear" w:color="auto" w:fill="auto"/>
        <w:tabs>
          <w:tab w:val="left" w:pos="973"/>
        </w:tabs>
        <w:spacing w:after="120"/>
        <w:ind w:firstLine="580"/>
        <w:jc w:val="both"/>
      </w:pPr>
      <w:r>
        <w:t>Засоби зв'язку (стаціонарна або мобільна рація, фіксований зв'язок) для виклику екстрених служб.</w:t>
      </w:r>
    </w:p>
    <w:p w:rsidR="008B455E" w:rsidRDefault="008B455E" w:rsidP="008B455E">
      <w:pPr>
        <w:pStyle w:val="1"/>
        <w:numPr>
          <w:ilvl w:val="0"/>
          <w:numId w:val="4"/>
        </w:numPr>
        <w:shd w:val="clear" w:color="auto" w:fill="auto"/>
        <w:tabs>
          <w:tab w:val="left" w:pos="991"/>
        </w:tabs>
        <w:spacing w:after="120"/>
        <w:ind w:firstLine="580"/>
        <w:jc w:val="both"/>
      </w:pPr>
      <w:r>
        <w:t>Засоби пожежогасіння відповідно до вимог пожежної безпеки.</w:t>
      </w:r>
    </w:p>
    <w:p w:rsidR="008B455E" w:rsidRDefault="008B455E" w:rsidP="008B455E">
      <w:pPr>
        <w:pStyle w:val="1"/>
        <w:numPr>
          <w:ilvl w:val="0"/>
          <w:numId w:val="4"/>
        </w:numPr>
        <w:shd w:val="clear" w:color="auto" w:fill="auto"/>
        <w:tabs>
          <w:tab w:val="left" w:pos="991"/>
        </w:tabs>
        <w:spacing w:after="0"/>
        <w:ind w:firstLine="580"/>
        <w:jc w:val="both"/>
      </w:pPr>
      <w:r>
        <w:t>Засоби для санітарної обробки приміщень пункту незламності.</w:t>
      </w:r>
    </w:p>
    <w:p w:rsidR="008B455E" w:rsidRDefault="008B455E" w:rsidP="008B455E">
      <w:pPr>
        <w:spacing w:line="1" w:lineRule="exact"/>
        <w:sectPr w:rsidR="008B455E" w:rsidSect="00294AFB">
          <w:pgSz w:w="11900" w:h="16840"/>
          <w:pgMar w:top="851" w:right="843" w:bottom="360" w:left="1701" w:header="0" w:footer="3" w:gutter="0"/>
          <w:cols w:space="720"/>
          <w:noEndnote/>
          <w:docGrid w:linePitch="360"/>
        </w:sectPr>
      </w:pPr>
    </w:p>
    <w:p w:rsidR="008B455E" w:rsidRDefault="008B455E" w:rsidP="008B455E">
      <w:pPr>
        <w:spacing w:line="1" w:lineRule="exact"/>
      </w:pPr>
    </w:p>
    <w:p w:rsidR="008B455E" w:rsidRDefault="008B455E" w:rsidP="008B455E">
      <w:pPr>
        <w:pStyle w:val="a8"/>
        <w:framePr w:wrap="none" w:vAnchor="page" w:hAnchor="page" w:x="6125" w:y="549"/>
        <w:shd w:val="clear" w:color="auto" w:fill="auto"/>
        <w:jc w:val="left"/>
      </w:pPr>
    </w:p>
    <w:p w:rsidR="008B455E" w:rsidRDefault="008B455E" w:rsidP="008B455E">
      <w:pPr>
        <w:pStyle w:val="a8"/>
        <w:shd w:val="clear" w:color="auto" w:fill="auto"/>
        <w:ind w:left="6237"/>
        <w:jc w:val="left"/>
        <w:rPr>
          <w:lang w:val="en-US" w:bidi="en-US"/>
        </w:rPr>
      </w:pPr>
      <w:r>
        <w:t xml:space="preserve">Продовження додатка </w:t>
      </w:r>
      <w:r>
        <w:rPr>
          <w:lang w:val="en-US" w:bidi="en-US"/>
        </w:rPr>
        <w:t>2</w:t>
      </w:r>
    </w:p>
    <w:p w:rsidR="008B455E" w:rsidRDefault="008B455E" w:rsidP="008B455E">
      <w:pPr>
        <w:pStyle w:val="a8"/>
        <w:shd w:val="clear" w:color="auto" w:fill="auto"/>
        <w:jc w:val="left"/>
        <w:rPr>
          <w:lang w:val="en-US" w:bidi="en-US"/>
        </w:rPr>
      </w:pPr>
    </w:p>
    <w:p w:rsidR="008B455E" w:rsidRDefault="008B455E" w:rsidP="008B455E">
      <w:pPr>
        <w:pStyle w:val="a8"/>
        <w:shd w:val="clear" w:color="auto" w:fill="auto"/>
        <w:jc w:val="left"/>
      </w:pPr>
    </w:p>
    <w:p w:rsidR="008B455E" w:rsidRDefault="008B455E" w:rsidP="008B455E">
      <w:pPr>
        <w:pStyle w:val="1"/>
        <w:numPr>
          <w:ilvl w:val="0"/>
          <w:numId w:val="4"/>
        </w:numPr>
        <w:shd w:val="clear" w:color="auto" w:fill="auto"/>
        <w:tabs>
          <w:tab w:val="left" w:pos="1098"/>
        </w:tabs>
        <w:spacing w:after="120"/>
        <w:ind w:firstLine="580"/>
        <w:jc w:val="both"/>
      </w:pPr>
      <w:r>
        <w:t>Інша матеріально-ресурсна база:</w:t>
      </w:r>
    </w:p>
    <w:p w:rsidR="008B455E" w:rsidRDefault="00294AFB" w:rsidP="008B455E">
      <w:pPr>
        <w:pStyle w:val="1"/>
        <w:shd w:val="clear" w:color="auto" w:fill="auto"/>
        <w:spacing w:after="120"/>
        <w:ind w:firstLine="580"/>
        <w:jc w:val="both"/>
      </w:pPr>
      <w:r>
        <w:t xml:space="preserve">1) </w:t>
      </w:r>
      <w:r w:rsidR="008B455E">
        <w:t>меблі (стільці, лавки, столи) у кількості, достатній для забезпечення проектної кількості відвідувачів, куточок матері та дитини (</w:t>
      </w:r>
      <w:proofErr w:type="spellStart"/>
      <w:r w:rsidR="008B455E">
        <w:t>пеленальний</w:t>
      </w:r>
      <w:proofErr w:type="spellEnd"/>
      <w:r w:rsidR="008B455E">
        <w:t xml:space="preserve"> стіл, дитячі іграшки, книжки, розмальовки, олівці тощо);</w:t>
      </w:r>
    </w:p>
    <w:p w:rsidR="008B455E" w:rsidRDefault="00294AFB" w:rsidP="008B455E">
      <w:pPr>
        <w:pStyle w:val="1"/>
        <w:shd w:val="clear" w:color="auto" w:fill="auto"/>
        <w:spacing w:after="120"/>
        <w:ind w:firstLine="580"/>
        <w:jc w:val="both"/>
      </w:pPr>
      <w:r>
        <w:t xml:space="preserve">2) </w:t>
      </w:r>
      <w:r w:rsidR="008B455E">
        <w:t xml:space="preserve">запаси питної та технічної води, засоби для приготування гарячих напоїв (принаймні три термоси на </w:t>
      </w:r>
      <w:r w:rsidR="008B455E" w:rsidRPr="00F229FD">
        <w:rPr>
          <w:lang w:bidi="en-US"/>
        </w:rPr>
        <w:t xml:space="preserve">10 </w:t>
      </w:r>
      <w:r w:rsidR="008B455E">
        <w:t xml:space="preserve">літрів з функцією нагрівання води, чайники, термоси іншої ємності, </w:t>
      </w:r>
      <w:proofErr w:type="spellStart"/>
      <w:r w:rsidR="008B455E">
        <w:t>термопоти</w:t>
      </w:r>
      <w:proofErr w:type="spellEnd"/>
      <w:r w:rsidR="008B455E">
        <w:t xml:space="preserve"> тощо) відповідно до проектної кількості відвідувачів;</w:t>
      </w:r>
    </w:p>
    <w:p w:rsidR="008B455E" w:rsidRDefault="00294AFB" w:rsidP="008B455E">
      <w:pPr>
        <w:pStyle w:val="1"/>
        <w:shd w:val="clear" w:color="auto" w:fill="auto"/>
        <w:spacing w:after="120"/>
        <w:ind w:firstLine="580"/>
        <w:jc w:val="both"/>
      </w:pPr>
      <w:r>
        <w:t xml:space="preserve">3) </w:t>
      </w:r>
      <w:r w:rsidR="008B455E">
        <w:t>продукти харчування та комплекти одноразового посуду (за можливості з урахуванням взаємодії з волонтерськими організаціями) відповідно до проектної кількості відвідувачів пункту;</w:t>
      </w:r>
    </w:p>
    <w:p w:rsidR="008B455E" w:rsidRDefault="00294AFB" w:rsidP="008B455E">
      <w:pPr>
        <w:pStyle w:val="1"/>
        <w:shd w:val="clear" w:color="auto" w:fill="auto"/>
        <w:spacing w:after="120"/>
        <w:ind w:firstLine="580"/>
        <w:jc w:val="both"/>
      </w:pPr>
      <w:r>
        <w:t xml:space="preserve">4) </w:t>
      </w:r>
      <w:r w:rsidR="008B455E">
        <w:t>засоби особистої гігієни (серветки сухі/вологі, туалетний папір, засоби жіночої гігієни, підгузки, пелюшки та інше);</w:t>
      </w:r>
    </w:p>
    <w:p w:rsidR="008B455E" w:rsidRDefault="00294AFB" w:rsidP="008B455E">
      <w:pPr>
        <w:pStyle w:val="1"/>
        <w:shd w:val="clear" w:color="auto" w:fill="auto"/>
        <w:spacing w:after="0"/>
        <w:ind w:firstLine="580"/>
        <w:jc w:val="both"/>
      </w:pPr>
      <w:r>
        <w:t xml:space="preserve">5) </w:t>
      </w:r>
      <w:r w:rsidR="008B455E">
        <w:t xml:space="preserve">стаціонарні туалети (за наявності) або автономні </w:t>
      </w:r>
      <w:proofErr w:type="spellStart"/>
      <w:r w:rsidR="008B455E">
        <w:t>біотуалети</w:t>
      </w:r>
      <w:proofErr w:type="spellEnd"/>
      <w:r w:rsidR="008B455E">
        <w:t>.</w:t>
      </w:r>
    </w:p>
    <w:p w:rsidR="008B455E" w:rsidRDefault="008B455E" w:rsidP="008B455E">
      <w:pPr>
        <w:spacing w:line="1" w:lineRule="exact"/>
        <w:sectPr w:rsidR="008B455E" w:rsidSect="00294AFB">
          <w:pgSz w:w="11900" w:h="16840"/>
          <w:pgMar w:top="993" w:right="843" w:bottom="360" w:left="1701" w:header="0" w:footer="3" w:gutter="0"/>
          <w:cols w:space="720"/>
          <w:noEndnote/>
          <w:docGrid w:linePitch="360"/>
        </w:sectPr>
      </w:pPr>
    </w:p>
    <w:p w:rsidR="008B455E" w:rsidRDefault="008B455E" w:rsidP="008B455E">
      <w:pPr>
        <w:spacing w:line="1" w:lineRule="exact"/>
      </w:pPr>
    </w:p>
    <w:p w:rsidR="008B455E" w:rsidRDefault="008B455E" w:rsidP="008B455E">
      <w:pPr>
        <w:pStyle w:val="a8"/>
        <w:shd w:val="clear" w:color="auto" w:fill="auto"/>
        <w:jc w:val="right"/>
      </w:pPr>
      <w:r>
        <w:t xml:space="preserve">Додаток </w:t>
      </w:r>
      <w:r w:rsidRPr="00F229FD">
        <w:rPr>
          <w:lang w:val="ru-RU" w:bidi="en-US"/>
        </w:rPr>
        <w:t>3</w:t>
      </w:r>
    </w:p>
    <w:p w:rsidR="008B455E" w:rsidRDefault="008B455E" w:rsidP="008B455E">
      <w:pPr>
        <w:pStyle w:val="a8"/>
        <w:shd w:val="clear" w:color="auto" w:fill="auto"/>
        <w:jc w:val="right"/>
      </w:pPr>
      <w:r>
        <w:t>до Порядку</w:t>
      </w:r>
    </w:p>
    <w:p w:rsidR="008B455E" w:rsidRDefault="008B455E" w:rsidP="008B455E">
      <w:pPr>
        <w:pStyle w:val="a8"/>
        <w:shd w:val="clear" w:color="auto" w:fill="auto"/>
        <w:jc w:val="right"/>
      </w:pPr>
    </w:p>
    <w:p w:rsidR="008B455E" w:rsidRPr="00294AFB" w:rsidRDefault="008B455E" w:rsidP="008B455E">
      <w:pPr>
        <w:pStyle w:val="1"/>
        <w:shd w:val="clear" w:color="auto" w:fill="auto"/>
        <w:spacing w:after="0"/>
        <w:ind w:firstLine="0"/>
        <w:jc w:val="center"/>
        <w:rPr>
          <w:b/>
          <w:bCs/>
        </w:rPr>
      </w:pPr>
      <w:r w:rsidRPr="00294AFB">
        <w:rPr>
          <w:b/>
          <w:bCs/>
        </w:rPr>
        <w:t>ПРИМІРНИЙ</w:t>
      </w:r>
    </w:p>
    <w:p w:rsidR="008B455E" w:rsidRDefault="008B455E" w:rsidP="008B455E">
      <w:pPr>
        <w:pStyle w:val="1"/>
        <w:shd w:val="clear" w:color="auto" w:fill="auto"/>
        <w:spacing w:after="360"/>
        <w:ind w:firstLine="0"/>
        <w:jc w:val="center"/>
        <w:rPr>
          <w:b/>
          <w:bCs/>
        </w:rPr>
      </w:pPr>
      <w:r w:rsidRPr="00294AFB">
        <w:rPr>
          <w:b/>
          <w:bCs/>
        </w:rPr>
        <w:t>паспорт пункту незламності</w:t>
      </w:r>
    </w:p>
    <w:tbl>
      <w:tblPr>
        <w:tblStyle w:val="ab"/>
        <w:tblW w:w="9493" w:type="dxa"/>
        <w:tblLook w:val="04A0" w:firstRow="1" w:lastRow="0" w:firstColumn="1" w:lastColumn="0" w:noHBand="0" w:noVBand="1"/>
      </w:tblPr>
      <w:tblGrid>
        <w:gridCol w:w="5949"/>
        <w:gridCol w:w="3544"/>
      </w:tblGrid>
      <w:tr w:rsidR="009257DD" w:rsidTr="009257DD">
        <w:tc>
          <w:tcPr>
            <w:tcW w:w="5949" w:type="dxa"/>
            <w:vAlign w:val="center"/>
          </w:tcPr>
          <w:p w:rsidR="009257DD" w:rsidRPr="00CB1497" w:rsidRDefault="009257DD" w:rsidP="009257DD">
            <w:pPr>
              <w:pStyle w:val="1"/>
              <w:shd w:val="clear" w:color="auto" w:fill="auto"/>
              <w:spacing w:after="0"/>
              <w:ind w:firstLine="0"/>
            </w:pPr>
            <w:r>
              <w:rPr>
                <w:lang w:val="en-US" w:bidi="en-US"/>
              </w:rPr>
              <w:t>QR</w:t>
            </w:r>
            <w:r>
              <w:t>-код (посилання на локацію)</w:t>
            </w:r>
          </w:p>
        </w:tc>
        <w:tc>
          <w:tcPr>
            <w:tcW w:w="3544" w:type="dxa"/>
            <w:vAlign w:val="center"/>
          </w:tcPr>
          <w:p w:rsidR="009257DD" w:rsidRDefault="009257DD" w:rsidP="009257DD">
            <w:pPr>
              <w:pStyle w:val="1"/>
              <w:shd w:val="clear" w:color="auto" w:fill="auto"/>
              <w:spacing w:after="0"/>
              <w:ind w:left="736" w:right="-26" w:firstLine="0"/>
              <w:rPr>
                <w:b/>
                <w:bCs/>
              </w:rPr>
            </w:pPr>
          </w:p>
        </w:tc>
      </w:tr>
      <w:tr w:rsidR="009257DD" w:rsidTr="009257DD">
        <w:tc>
          <w:tcPr>
            <w:tcW w:w="5949" w:type="dxa"/>
            <w:vAlign w:val="center"/>
          </w:tcPr>
          <w:p w:rsidR="009257DD" w:rsidRPr="00CB1497" w:rsidRDefault="009257DD" w:rsidP="009257DD">
            <w:pPr>
              <w:pStyle w:val="1"/>
              <w:shd w:val="clear" w:color="auto" w:fill="auto"/>
              <w:spacing w:after="0"/>
              <w:ind w:firstLine="0"/>
            </w:pPr>
            <w:r>
              <w:t>Адреса</w:t>
            </w:r>
          </w:p>
        </w:tc>
        <w:tc>
          <w:tcPr>
            <w:tcW w:w="3544" w:type="dxa"/>
            <w:vAlign w:val="center"/>
          </w:tcPr>
          <w:p w:rsidR="009257DD" w:rsidRDefault="009257DD" w:rsidP="009257DD">
            <w:pPr>
              <w:pStyle w:val="1"/>
              <w:shd w:val="clear" w:color="auto" w:fill="auto"/>
              <w:spacing w:after="0"/>
              <w:ind w:firstLine="0"/>
              <w:rPr>
                <w:b/>
                <w:bCs/>
              </w:rPr>
            </w:pPr>
          </w:p>
        </w:tc>
      </w:tr>
      <w:tr w:rsidR="009257DD" w:rsidTr="009257DD">
        <w:trPr>
          <w:trHeight w:val="285"/>
        </w:trPr>
        <w:tc>
          <w:tcPr>
            <w:tcW w:w="5949" w:type="dxa"/>
            <w:vAlign w:val="center"/>
          </w:tcPr>
          <w:p w:rsidR="009257DD" w:rsidRPr="00CB1497" w:rsidRDefault="009257DD" w:rsidP="009257DD">
            <w:pPr>
              <w:pStyle w:val="1"/>
              <w:shd w:val="clear" w:color="auto" w:fill="auto"/>
              <w:spacing w:after="0"/>
              <w:ind w:firstLine="0"/>
            </w:pPr>
            <w:r>
              <w:t>Телефон</w:t>
            </w:r>
          </w:p>
        </w:tc>
        <w:tc>
          <w:tcPr>
            <w:tcW w:w="3544" w:type="dxa"/>
            <w:vAlign w:val="center"/>
          </w:tcPr>
          <w:p w:rsidR="009257DD" w:rsidRDefault="009257DD" w:rsidP="009257DD">
            <w:pPr>
              <w:pStyle w:val="1"/>
              <w:shd w:val="clear" w:color="auto" w:fill="auto"/>
              <w:spacing w:after="0"/>
              <w:ind w:firstLine="0"/>
              <w:rPr>
                <w:b/>
                <w:bCs/>
              </w:rPr>
            </w:pPr>
          </w:p>
        </w:tc>
      </w:tr>
      <w:tr w:rsidR="009257DD" w:rsidTr="009257DD">
        <w:tc>
          <w:tcPr>
            <w:tcW w:w="5949" w:type="dxa"/>
            <w:vAlign w:val="center"/>
          </w:tcPr>
          <w:p w:rsidR="009257DD" w:rsidRPr="00CB1497" w:rsidRDefault="009257DD" w:rsidP="009257DD">
            <w:pPr>
              <w:pStyle w:val="1"/>
              <w:shd w:val="clear" w:color="auto" w:fill="auto"/>
              <w:spacing w:after="120"/>
              <w:ind w:firstLine="0"/>
            </w:pPr>
            <w:r>
              <w:t>Вид (стаціонарний, мобільний)</w:t>
            </w:r>
          </w:p>
        </w:tc>
        <w:tc>
          <w:tcPr>
            <w:tcW w:w="3544" w:type="dxa"/>
            <w:vAlign w:val="center"/>
          </w:tcPr>
          <w:p w:rsidR="009257DD" w:rsidRDefault="009257DD" w:rsidP="009257DD">
            <w:pPr>
              <w:pStyle w:val="1"/>
              <w:shd w:val="clear" w:color="auto" w:fill="auto"/>
              <w:spacing w:after="0"/>
              <w:ind w:firstLine="0"/>
              <w:rPr>
                <w:b/>
                <w:bCs/>
              </w:rPr>
            </w:pPr>
          </w:p>
        </w:tc>
      </w:tr>
      <w:tr w:rsidR="009257DD" w:rsidTr="009257DD">
        <w:tc>
          <w:tcPr>
            <w:tcW w:w="5949" w:type="dxa"/>
            <w:vAlign w:val="center"/>
          </w:tcPr>
          <w:p w:rsidR="009257DD" w:rsidRPr="00CB1497" w:rsidRDefault="009257DD" w:rsidP="009257DD">
            <w:pPr>
              <w:pStyle w:val="1"/>
              <w:shd w:val="clear" w:color="auto" w:fill="auto"/>
              <w:spacing w:after="120"/>
              <w:ind w:firstLine="0"/>
            </w:pPr>
            <w:r>
              <w:t>Площа</w:t>
            </w:r>
          </w:p>
        </w:tc>
        <w:tc>
          <w:tcPr>
            <w:tcW w:w="3544" w:type="dxa"/>
            <w:vAlign w:val="center"/>
          </w:tcPr>
          <w:p w:rsidR="009257DD" w:rsidRDefault="009257DD" w:rsidP="009257DD">
            <w:pPr>
              <w:pStyle w:val="1"/>
              <w:shd w:val="clear" w:color="auto" w:fill="auto"/>
              <w:spacing w:after="0"/>
              <w:ind w:firstLine="0"/>
              <w:rPr>
                <w:b/>
                <w:bCs/>
              </w:rPr>
            </w:pPr>
          </w:p>
        </w:tc>
      </w:tr>
      <w:tr w:rsidR="009257DD" w:rsidTr="009257DD">
        <w:tc>
          <w:tcPr>
            <w:tcW w:w="5949" w:type="dxa"/>
            <w:vAlign w:val="center"/>
          </w:tcPr>
          <w:p w:rsidR="009257DD" w:rsidRPr="00CB1497" w:rsidRDefault="009257DD" w:rsidP="009257DD">
            <w:pPr>
              <w:pStyle w:val="1"/>
              <w:shd w:val="clear" w:color="auto" w:fill="auto"/>
              <w:spacing w:after="120"/>
              <w:ind w:firstLine="0"/>
            </w:pPr>
            <w:r>
              <w:t>Проектна кількість відвідувачів</w:t>
            </w:r>
          </w:p>
        </w:tc>
        <w:tc>
          <w:tcPr>
            <w:tcW w:w="3544" w:type="dxa"/>
            <w:vAlign w:val="center"/>
          </w:tcPr>
          <w:p w:rsidR="009257DD" w:rsidRDefault="009257DD" w:rsidP="009257DD">
            <w:pPr>
              <w:pStyle w:val="1"/>
              <w:shd w:val="clear" w:color="auto" w:fill="auto"/>
              <w:spacing w:after="0"/>
              <w:ind w:firstLine="0"/>
              <w:rPr>
                <w:b/>
                <w:bCs/>
              </w:rPr>
            </w:pPr>
          </w:p>
        </w:tc>
      </w:tr>
      <w:tr w:rsidR="009257DD" w:rsidTr="009257DD">
        <w:tc>
          <w:tcPr>
            <w:tcW w:w="5949" w:type="dxa"/>
            <w:vAlign w:val="center"/>
          </w:tcPr>
          <w:p w:rsidR="009257DD" w:rsidRPr="00CB1497" w:rsidRDefault="009257DD" w:rsidP="009257DD">
            <w:pPr>
              <w:pStyle w:val="1"/>
              <w:shd w:val="clear" w:color="auto" w:fill="auto"/>
              <w:spacing w:after="120"/>
              <w:ind w:firstLine="0"/>
            </w:pPr>
            <w:r>
              <w:t>Запас питної води</w:t>
            </w:r>
          </w:p>
        </w:tc>
        <w:tc>
          <w:tcPr>
            <w:tcW w:w="3544" w:type="dxa"/>
            <w:vAlign w:val="center"/>
          </w:tcPr>
          <w:p w:rsidR="009257DD" w:rsidRDefault="009257DD" w:rsidP="009257DD">
            <w:pPr>
              <w:pStyle w:val="1"/>
              <w:shd w:val="clear" w:color="auto" w:fill="auto"/>
              <w:spacing w:after="0"/>
              <w:ind w:firstLine="0"/>
              <w:rPr>
                <w:b/>
                <w:bCs/>
              </w:rPr>
            </w:pPr>
          </w:p>
        </w:tc>
      </w:tr>
      <w:tr w:rsidR="009257DD" w:rsidTr="009257DD">
        <w:tc>
          <w:tcPr>
            <w:tcW w:w="5949" w:type="dxa"/>
            <w:vAlign w:val="center"/>
          </w:tcPr>
          <w:p w:rsidR="009257DD" w:rsidRPr="00CB1497" w:rsidRDefault="009257DD" w:rsidP="009257DD">
            <w:pPr>
              <w:pStyle w:val="1"/>
              <w:shd w:val="clear" w:color="auto" w:fill="auto"/>
              <w:spacing w:after="120"/>
              <w:ind w:firstLine="0"/>
            </w:pPr>
            <w:r>
              <w:t>Засоби автономної генерації електроенергії та їх потужність</w:t>
            </w:r>
          </w:p>
        </w:tc>
        <w:tc>
          <w:tcPr>
            <w:tcW w:w="3544" w:type="dxa"/>
            <w:vAlign w:val="center"/>
          </w:tcPr>
          <w:p w:rsidR="009257DD" w:rsidRDefault="009257DD" w:rsidP="009257DD">
            <w:pPr>
              <w:pStyle w:val="1"/>
              <w:shd w:val="clear" w:color="auto" w:fill="auto"/>
              <w:spacing w:after="0"/>
              <w:ind w:firstLine="0"/>
              <w:rPr>
                <w:b/>
                <w:bCs/>
              </w:rPr>
            </w:pPr>
          </w:p>
        </w:tc>
      </w:tr>
      <w:tr w:rsidR="009257DD" w:rsidTr="009257DD">
        <w:tc>
          <w:tcPr>
            <w:tcW w:w="5949" w:type="dxa"/>
            <w:vAlign w:val="center"/>
          </w:tcPr>
          <w:p w:rsidR="009257DD" w:rsidRPr="00CB1497" w:rsidRDefault="009257DD" w:rsidP="009257DD">
            <w:pPr>
              <w:pStyle w:val="1"/>
              <w:shd w:val="clear" w:color="auto" w:fill="auto"/>
              <w:spacing w:after="120"/>
              <w:ind w:firstLine="0"/>
            </w:pPr>
            <w:r>
              <w:t>Засоби автономного опалення та їх потужність</w:t>
            </w:r>
          </w:p>
        </w:tc>
        <w:tc>
          <w:tcPr>
            <w:tcW w:w="3544" w:type="dxa"/>
            <w:vAlign w:val="center"/>
          </w:tcPr>
          <w:p w:rsidR="009257DD" w:rsidRDefault="009257DD" w:rsidP="009257DD">
            <w:pPr>
              <w:pStyle w:val="1"/>
              <w:shd w:val="clear" w:color="auto" w:fill="auto"/>
              <w:spacing w:after="0"/>
              <w:ind w:firstLine="0"/>
              <w:rPr>
                <w:b/>
                <w:bCs/>
              </w:rPr>
            </w:pPr>
          </w:p>
        </w:tc>
      </w:tr>
      <w:tr w:rsidR="009257DD" w:rsidTr="009257DD">
        <w:tc>
          <w:tcPr>
            <w:tcW w:w="5949" w:type="dxa"/>
            <w:vAlign w:val="center"/>
          </w:tcPr>
          <w:p w:rsidR="009257DD" w:rsidRPr="00CB1497" w:rsidRDefault="009257DD" w:rsidP="009257DD">
            <w:pPr>
              <w:pStyle w:val="1"/>
              <w:shd w:val="clear" w:color="auto" w:fill="auto"/>
              <w:spacing w:after="120"/>
              <w:ind w:firstLine="0"/>
            </w:pPr>
            <w:r>
              <w:t>Обладнання для доступу до Інтернету</w:t>
            </w:r>
          </w:p>
        </w:tc>
        <w:tc>
          <w:tcPr>
            <w:tcW w:w="3544" w:type="dxa"/>
            <w:vAlign w:val="center"/>
          </w:tcPr>
          <w:p w:rsidR="009257DD" w:rsidRDefault="009257DD" w:rsidP="009257DD">
            <w:pPr>
              <w:pStyle w:val="1"/>
              <w:shd w:val="clear" w:color="auto" w:fill="auto"/>
              <w:spacing w:after="0"/>
              <w:ind w:firstLine="0"/>
              <w:rPr>
                <w:b/>
                <w:bCs/>
              </w:rPr>
            </w:pPr>
          </w:p>
        </w:tc>
      </w:tr>
      <w:tr w:rsidR="009257DD" w:rsidTr="009257DD">
        <w:tc>
          <w:tcPr>
            <w:tcW w:w="5949" w:type="dxa"/>
            <w:vAlign w:val="center"/>
          </w:tcPr>
          <w:p w:rsidR="009257DD" w:rsidRPr="00CB1497" w:rsidRDefault="009257DD" w:rsidP="009257DD">
            <w:pPr>
              <w:pStyle w:val="1"/>
              <w:shd w:val="clear" w:color="auto" w:fill="auto"/>
              <w:spacing w:after="120"/>
              <w:ind w:firstLine="0"/>
            </w:pPr>
            <w:r>
              <w:t>Кількість розеток для зарядки мобільних телефонів та іншого обладнання</w:t>
            </w:r>
          </w:p>
        </w:tc>
        <w:tc>
          <w:tcPr>
            <w:tcW w:w="3544" w:type="dxa"/>
            <w:vAlign w:val="center"/>
          </w:tcPr>
          <w:p w:rsidR="009257DD" w:rsidRDefault="009257DD" w:rsidP="009257DD">
            <w:pPr>
              <w:pStyle w:val="1"/>
              <w:shd w:val="clear" w:color="auto" w:fill="auto"/>
              <w:spacing w:after="0"/>
              <w:ind w:firstLine="0"/>
              <w:rPr>
                <w:b/>
                <w:bCs/>
              </w:rPr>
            </w:pPr>
          </w:p>
        </w:tc>
      </w:tr>
      <w:tr w:rsidR="009257DD" w:rsidTr="009257DD">
        <w:tc>
          <w:tcPr>
            <w:tcW w:w="5949" w:type="dxa"/>
            <w:vAlign w:val="center"/>
          </w:tcPr>
          <w:p w:rsidR="009257DD" w:rsidRPr="00CB1497" w:rsidRDefault="009257DD" w:rsidP="009257DD">
            <w:pPr>
              <w:pStyle w:val="1"/>
              <w:shd w:val="clear" w:color="auto" w:fill="auto"/>
              <w:spacing w:after="120"/>
              <w:ind w:firstLine="0"/>
            </w:pPr>
            <w:r>
              <w:t>Засоби зв'язку</w:t>
            </w:r>
          </w:p>
        </w:tc>
        <w:tc>
          <w:tcPr>
            <w:tcW w:w="3544" w:type="dxa"/>
            <w:vAlign w:val="center"/>
          </w:tcPr>
          <w:p w:rsidR="009257DD" w:rsidRDefault="009257DD" w:rsidP="009257DD">
            <w:pPr>
              <w:pStyle w:val="1"/>
              <w:shd w:val="clear" w:color="auto" w:fill="auto"/>
              <w:spacing w:after="0"/>
              <w:ind w:firstLine="0"/>
              <w:rPr>
                <w:b/>
                <w:bCs/>
              </w:rPr>
            </w:pPr>
          </w:p>
        </w:tc>
      </w:tr>
      <w:tr w:rsidR="009257DD" w:rsidTr="009257DD">
        <w:tc>
          <w:tcPr>
            <w:tcW w:w="5949" w:type="dxa"/>
            <w:vAlign w:val="center"/>
          </w:tcPr>
          <w:p w:rsidR="009257DD" w:rsidRPr="00CB1497" w:rsidRDefault="009257DD" w:rsidP="009257DD">
            <w:pPr>
              <w:pStyle w:val="1"/>
              <w:shd w:val="clear" w:color="auto" w:fill="auto"/>
              <w:spacing w:after="120"/>
              <w:ind w:firstLine="0"/>
            </w:pPr>
            <w:r>
              <w:t>Засоби пожежогасіння</w:t>
            </w:r>
          </w:p>
        </w:tc>
        <w:tc>
          <w:tcPr>
            <w:tcW w:w="3544" w:type="dxa"/>
            <w:vAlign w:val="center"/>
          </w:tcPr>
          <w:p w:rsidR="009257DD" w:rsidRDefault="009257DD" w:rsidP="009257DD">
            <w:pPr>
              <w:pStyle w:val="1"/>
              <w:shd w:val="clear" w:color="auto" w:fill="auto"/>
              <w:spacing w:after="0"/>
              <w:ind w:firstLine="0"/>
              <w:rPr>
                <w:b/>
                <w:bCs/>
              </w:rPr>
            </w:pPr>
          </w:p>
        </w:tc>
      </w:tr>
      <w:tr w:rsidR="009257DD" w:rsidTr="009257DD">
        <w:tc>
          <w:tcPr>
            <w:tcW w:w="5949" w:type="dxa"/>
            <w:vAlign w:val="center"/>
          </w:tcPr>
          <w:p w:rsidR="009257DD" w:rsidRPr="00CB1497" w:rsidRDefault="009257DD" w:rsidP="009257DD">
            <w:pPr>
              <w:pStyle w:val="1"/>
              <w:shd w:val="clear" w:color="auto" w:fill="auto"/>
              <w:spacing w:after="120"/>
              <w:ind w:firstLine="0"/>
            </w:pPr>
            <w:r>
              <w:t>Пункт охорони</w:t>
            </w:r>
          </w:p>
        </w:tc>
        <w:tc>
          <w:tcPr>
            <w:tcW w:w="3544" w:type="dxa"/>
            <w:vAlign w:val="center"/>
          </w:tcPr>
          <w:p w:rsidR="009257DD" w:rsidRDefault="009257DD" w:rsidP="009257DD">
            <w:pPr>
              <w:pStyle w:val="1"/>
              <w:shd w:val="clear" w:color="auto" w:fill="auto"/>
              <w:spacing w:after="0"/>
              <w:ind w:firstLine="0"/>
              <w:rPr>
                <w:b/>
                <w:bCs/>
              </w:rPr>
            </w:pPr>
          </w:p>
        </w:tc>
      </w:tr>
      <w:tr w:rsidR="009257DD" w:rsidTr="009257DD">
        <w:tc>
          <w:tcPr>
            <w:tcW w:w="5949" w:type="dxa"/>
            <w:vAlign w:val="center"/>
          </w:tcPr>
          <w:p w:rsidR="009257DD" w:rsidRPr="00CB1497" w:rsidRDefault="009257DD" w:rsidP="009257DD">
            <w:pPr>
              <w:pStyle w:val="1"/>
              <w:shd w:val="clear" w:color="auto" w:fill="auto"/>
              <w:spacing w:after="120"/>
              <w:ind w:firstLine="0"/>
            </w:pPr>
            <w:r>
              <w:t>Засоби надання домедичної допомоги</w:t>
            </w:r>
          </w:p>
        </w:tc>
        <w:tc>
          <w:tcPr>
            <w:tcW w:w="3544" w:type="dxa"/>
            <w:vAlign w:val="center"/>
          </w:tcPr>
          <w:p w:rsidR="009257DD" w:rsidRDefault="009257DD" w:rsidP="009257DD">
            <w:pPr>
              <w:pStyle w:val="1"/>
              <w:shd w:val="clear" w:color="auto" w:fill="auto"/>
              <w:spacing w:after="0"/>
              <w:ind w:firstLine="0"/>
              <w:rPr>
                <w:b/>
                <w:bCs/>
              </w:rPr>
            </w:pPr>
          </w:p>
        </w:tc>
      </w:tr>
      <w:tr w:rsidR="009257DD" w:rsidTr="009257DD">
        <w:tc>
          <w:tcPr>
            <w:tcW w:w="5949" w:type="dxa"/>
            <w:vAlign w:val="center"/>
          </w:tcPr>
          <w:p w:rsidR="009257DD" w:rsidRPr="00CB1497" w:rsidRDefault="009257DD" w:rsidP="009257DD">
            <w:pPr>
              <w:pStyle w:val="1"/>
              <w:shd w:val="clear" w:color="auto" w:fill="auto"/>
              <w:spacing w:after="120"/>
              <w:ind w:firstLine="0"/>
            </w:pPr>
            <w:r>
              <w:t>Кількість туалетів та їх вид (стаціонарний, мобільний)</w:t>
            </w:r>
          </w:p>
        </w:tc>
        <w:tc>
          <w:tcPr>
            <w:tcW w:w="3544" w:type="dxa"/>
            <w:vAlign w:val="center"/>
          </w:tcPr>
          <w:p w:rsidR="009257DD" w:rsidRDefault="009257DD" w:rsidP="009257DD">
            <w:pPr>
              <w:pStyle w:val="1"/>
              <w:shd w:val="clear" w:color="auto" w:fill="auto"/>
              <w:spacing w:after="0"/>
              <w:ind w:firstLine="0"/>
              <w:rPr>
                <w:b/>
                <w:bCs/>
              </w:rPr>
            </w:pPr>
          </w:p>
        </w:tc>
      </w:tr>
      <w:tr w:rsidR="009257DD" w:rsidTr="009257DD">
        <w:tc>
          <w:tcPr>
            <w:tcW w:w="5949" w:type="dxa"/>
            <w:vAlign w:val="center"/>
          </w:tcPr>
          <w:p w:rsidR="009257DD" w:rsidRPr="00CB1497" w:rsidRDefault="009257DD" w:rsidP="009257DD">
            <w:pPr>
              <w:pStyle w:val="1"/>
              <w:shd w:val="clear" w:color="auto" w:fill="auto"/>
              <w:spacing w:after="120"/>
              <w:ind w:firstLine="0"/>
            </w:pPr>
            <w:r>
              <w:t>Пункт незламності утворено</w:t>
            </w:r>
          </w:p>
        </w:tc>
        <w:tc>
          <w:tcPr>
            <w:tcW w:w="3544" w:type="dxa"/>
            <w:vAlign w:val="center"/>
          </w:tcPr>
          <w:p w:rsidR="009257DD" w:rsidRDefault="009257DD" w:rsidP="009257DD">
            <w:pPr>
              <w:pStyle w:val="1"/>
              <w:shd w:val="clear" w:color="auto" w:fill="auto"/>
              <w:spacing w:after="0"/>
              <w:ind w:firstLine="0"/>
              <w:rPr>
                <w:b/>
                <w:bCs/>
              </w:rPr>
            </w:pPr>
          </w:p>
        </w:tc>
      </w:tr>
      <w:tr w:rsidR="009257DD" w:rsidTr="009257DD">
        <w:trPr>
          <w:trHeight w:val="361"/>
        </w:trPr>
        <w:tc>
          <w:tcPr>
            <w:tcW w:w="5949" w:type="dxa"/>
            <w:vAlign w:val="center"/>
          </w:tcPr>
          <w:p w:rsidR="009257DD" w:rsidRPr="00CB1497" w:rsidRDefault="009257DD" w:rsidP="009257DD">
            <w:pPr>
              <w:pStyle w:val="1"/>
              <w:shd w:val="clear" w:color="auto" w:fill="auto"/>
              <w:spacing w:after="0"/>
              <w:ind w:firstLine="0"/>
            </w:pPr>
            <w:r>
              <w:t>Відповідальна особа пункту незламності</w:t>
            </w:r>
          </w:p>
        </w:tc>
        <w:tc>
          <w:tcPr>
            <w:tcW w:w="3544" w:type="dxa"/>
            <w:vAlign w:val="center"/>
          </w:tcPr>
          <w:p w:rsidR="009257DD" w:rsidRDefault="009257DD" w:rsidP="009257DD">
            <w:pPr>
              <w:pStyle w:val="1"/>
              <w:shd w:val="clear" w:color="auto" w:fill="auto"/>
              <w:spacing w:after="0"/>
              <w:ind w:firstLine="0"/>
              <w:rPr>
                <w:b/>
                <w:bCs/>
              </w:rPr>
            </w:pPr>
          </w:p>
        </w:tc>
      </w:tr>
    </w:tbl>
    <w:p w:rsidR="00CB1497" w:rsidRPr="00294AFB" w:rsidRDefault="00CB1497" w:rsidP="008B455E">
      <w:pPr>
        <w:pStyle w:val="1"/>
        <w:shd w:val="clear" w:color="auto" w:fill="auto"/>
        <w:spacing w:after="360"/>
        <w:ind w:firstLine="0"/>
        <w:jc w:val="center"/>
        <w:rPr>
          <w:b/>
          <w:bCs/>
        </w:rPr>
      </w:pPr>
    </w:p>
    <w:p w:rsidR="008B455E" w:rsidRDefault="008B455E" w:rsidP="008B455E">
      <w:pPr>
        <w:spacing w:line="1" w:lineRule="exact"/>
        <w:sectPr w:rsidR="008B455E" w:rsidSect="00294AFB">
          <w:pgSz w:w="11900" w:h="16840"/>
          <w:pgMar w:top="1135" w:right="843" w:bottom="360" w:left="1701" w:header="0" w:footer="3" w:gutter="0"/>
          <w:cols w:space="720"/>
          <w:noEndnote/>
          <w:docGrid w:linePitch="360"/>
        </w:sectPr>
      </w:pPr>
    </w:p>
    <w:p w:rsidR="008B455E" w:rsidRDefault="008B455E" w:rsidP="008B455E">
      <w:pPr>
        <w:spacing w:line="1" w:lineRule="exact"/>
      </w:pPr>
    </w:p>
    <w:p w:rsidR="008B455E" w:rsidRDefault="008B455E" w:rsidP="008B455E">
      <w:pPr>
        <w:pStyle w:val="a8"/>
        <w:shd w:val="clear" w:color="auto" w:fill="auto"/>
        <w:jc w:val="right"/>
      </w:pPr>
      <w:r>
        <w:t xml:space="preserve">Додаток </w:t>
      </w:r>
      <w:r w:rsidRPr="00F229FD">
        <w:rPr>
          <w:lang w:val="ru-RU" w:bidi="en-US"/>
        </w:rPr>
        <w:t>4</w:t>
      </w:r>
    </w:p>
    <w:p w:rsidR="008B455E" w:rsidRDefault="008B455E" w:rsidP="008B455E">
      <w:pPr>
        <w:pStyle w:val="a8"/>
        <w:shd w:val="clear" w:color="auto" w:fill="auto"/>
        <w:jc w:val="right"/>
      </w:pPr>
      <w:r>
        <w:t>до Порядку</w:t>
      </w:r>
    </w:p>
    <w:p w:rsidR="008B455E" w:rsidRPr="00294AFB" w:rsidRDefault="008B455E" w:rsidP="008B455E">
      <w:pPr>
        <w:pStyle w:val="a8"/>
        <w:shd w:val="clear" w:color="auto" w:fill="auto"/>
        <w:jc w:val="right"/>
        <w:rPr>
          <w:b/>
          <w:bCs/>
        </w:rPr>
      </w:pPr>
    </w:p>
    <w:p w:rsidR="008B455E" w:rsidRPr="00294AFB" w:rsidRDefault="008B455E" w:rsidP="008B455E">
      <w:pPr>
        <w:pStyle w:val="a8"/>
        <w:shd w:val="clear" w:color="auto" w:fill="auto"/>
        <w:rPr>
          <w:b/>
          <w:bCs/>
        </w:rPr>
      </w:pPr>
      <w:r w:rsidRPr="00294AFB">
        <w:rPr>
          <w:b/>
          <w:bCs/>
        </w:rPr>
        <w:t>ПРИМІРНА ФОРМА</w:t>
      </w:r>
    </w:p>
    <w:p w:rsidR="008B455E" w:rsidRPr="00294AFB" w:rsidRDefault="008B455E" w:rsidP="008B455E">
      <w:pPr>
        <w:pStyle w:val="a8"/>
        <w:shd w:val="clear" w:color="auto" w:fill="auto"/>
        <w:rPr>
          <w:b/>
          <w:bCs/>
        </w:rPr>
      </w:pPr>
      <w:r w:rsidRPr="00294AFB">
        <w:rPr>
          <w:b/>
          <w:bCs/>
        </w:rPr>
        <w:t>інформації про розташування найближчого</w:t>
      </w:r>
    </w:p>
    <w:p w:rsidR="008B455E" w:rsidRPr="00294AFB" w:rsidRDefault="008B455E" w:rsidP="008B455E">
      <w:pPr>
        <w:pStyle w:val="a8"/>
        <w:shd w:val="clear" w:color="auto" w:fill="auto"/>
        <w:rPr>
          <w:b/>
          <w:bCs/>
        </w:rPr>
      </w:pPr>
      <w:r w:rsidRPr="00294AFB">
        <w:rPr>
          <w:b/>
          <w:bCs/>
        </w:rPr>
        <w:t>пункту незламності</w:t>
      </w:r>
    </w:p>
    <w:p w:rsidR="00294AFB" w:rsidRDefault="00294AFB" w:rsidP="008B455E">
      <w:pPr>
        <w:pStyle w:val="a8"/>
        <w:shd w:val="clear" w:color="auto" w:fill="auto"/>
      </w:pPr>
    </w:p>
    <w:p w:rsidR="00B77992" w:rsidRDefault="00B77992" w:rsidP="008B455E">
      <w:pPr>
        <w:pStyle w:val="11"/>
        <w:pBdr>
          <w:top w:val="single" w:sz="0" w:space="0" w:color="FBDD27"/>
          <w:left w:val="single" w:sz="0" w:space="0" w:color="FBDD27"/>
          <w:bottom w:val="single" w:sz="0" w:space="31" w:color="FBDD27"/>
          <w:right w:val="single" w:sz="0" w:space="0" w:color="FBDD27"/>
        </w:pBdr>
        <w:shd w:val="clear" w:color="auto" w:fill="FBDD27"/>
        <w:spacing w:after="0"/>
      </w:pPr>
      <w:bookmarkStart w:id="1" w:name="bookmark2"/>
      <w:bookmarkStart w:id="2" w:name="bookmark3"/>
    </w:p>
    <w:p w:rsidR="008B455E" w:rsidRDefault="008B455E" w:rsidP="008B455E">
      <w:pPr>
        <w:pStyle w:val="11"/>
        <w:pBdr>
          <w:top w:val="single" w:sz="0" w:space="0" w:color="FBDD27"/>
          <w:left w:val="single" w:sz="0" w:space="0" w:color="FBDD27"/>
          <w:bottom w:val="single" w:sz="0" w:space="31" w:color="FBDD27"/>
          <w:right w:val="single" w:sz="0" w:space="0" w:color="FBDD27"/>
        </w:pBdr>
        <w:shd w:val="clear" w:color="auto" w:fill="FBDD27"/>
        <w:spacing w:after="0"/>
      </w:pPr>
      <w:r>
        <w:t xml:space="preserve"> ПУНКТ</w:t>
      </w:r>
      <w:r>
        <w:br/>
        <w:t>НЕЗЛАМНОСТІ</w:t>
      </w:r>
      <w:bookmarkEnd w:id="1"/>
      <w:bookmarkEnd w:id="2"/>
    </w:p>
    <w:p w:rsidR="008B455E" w:rsidRPr="00817681" w:rsidRDefault="008B455E" w:rsidP="008B455E">
      <w:pPr>
        <w:pStyle w:val="a6"/>
        <w:pBdr>
          <w:top w:val="single" w:sz="0" w:space="0" w:color="FBDD27"/>
          <w:left w:val="single" w:sz="0" w:space="0" w:color="FBDD27"/>
          <w:bottom w:val="single" w:sz="0" w:space="31" w:color="FBDD27"/>
          <w:right w:val="single" w:sz="0" w:space="0" w:color="FBDD27"/>
        </w:pBdr>
        <w:shd w:val="clear" w:color="auto" w:fill="FBDD27"/>
        <w:spacing w:after="40"/>
      </w:pPr>
      <w:r w:rsidRPr="00817681">
        <w:rPr>
          <w:rFonts w:ascii="Arial" w:eastAsia="Arial" w:hAnsi="Arial" w:cs="Arial"/>
          <w:color w:val="2A230E"/>
        </w:rPr>
        <w:t>Найближчий пункт знаходиться за адресою:</w:t>
      </w:r>
    </w:p>
    <w:p w:rsidR="008B455E" w:rsidRPr="00817681" w:rsidRDefault="008B455E" w:rsidP="00817681">
      <w:pPr>
        <w:pStyle w:val="a6"/>
        <w:pBdr>
          <w:top w:val="single" w:sz="0" w:space="2" w:color="FBDD27"/>
          <w:left w:val="single" w:sz="0" w:space="0" w:color="FBDD27"/>
          <w:bottom w:val="single" w:sz="0" w:space="31" w:color="FBDD27"/>
          <w:right w:val="single" w:sz="0" w:space="0" w:color="FBDD27"/>
        </w:pBdr>
        <w:shd w:val="clear" w:color="auto" w:fill="FBDD27"/>
        <w:spacing w:after="200"/>
        <w:rPr>
          <w:sz w:val="24"/>
          <w:szCs w:val="24"/>
        </w:rPr>
      </w:pPr>
      <w:r>
        <w:rPr>
          <w:rFonts w:ascii="Arial" w:eastAsia="Arial" w:hAnsi="Arial" w:cs="Arial"/>
          <w:i/>
          <w:iCs/>
          <w:sz w:val="34"/>
          <w:szCs w:val="34"/>
        </w:rPr>
        <w:t>вул. Єреванська 10</w:t>
      </w:r>
      <w:r>
        <w:rPr>
          <w:rFonts w:ascii="Arial" w:eastAsia="Arial" w:hAnsi="Arial" w:cs="Arial"/>
          <w:b w:val="0"/>
          <w:bCs w:val="0"/>
          <w:sz w:val="22"/>
          <w:szCs w:val="22"/>
        </w:rPr>
        <w:tab/>
        <w:t xml:space="preserve"> </w:t>
      </w:r>
      <w:r w:rsidRPr="00817681">
        <w:rPr>
          <w:rFonts w:ascii="Arial" w:eastAsia="Arial" w:hAnsi="Arial" w:cs="Arial"/>
          <w:sz w:val="24"/>
          <w:szCs w:val="24"/>
        </w:rPr>
        <w:t xml:space="preserve">тут </w:t>
      </w:r>
      <w:r w:rsidRPr="00817681">
        <w:rPr>
          <w:rFonts w:ascii="Arial" w:eastAsia="Arial" w:hAnsi="Arial" w:cs="Arial"/>
          <w:color w:val="2A230E"/>
          <w:sz w:val="24"/>
          <w:szCs w:val="24"/>
        </w:rPr>
        <w:t xml:space="preserve">є: </w:t>
      </w:r>
      <w:r w:rsidRPr="00817681">
        <w:rPr>
          <w:rFonts w:ascii="Arial" w:eastAsia="Arial" w:hAnsi="Arial" w:cs="Arial"/>
          <w:sz w:val="24"/>
          <w:szCs w:val="24"/>
        </w:rPr>
        <w:tab/>
      </w:r>
    </w:p>
    <w:p w:rsidR="008B455E" w:rsidRDefault="008B455E" w:rsidP="008B455E">
      <w:pPr>
        <w:framePr w:wrap="none" w:vAnchor="page" w:hAnchor="page" w:x="2679" w:y="7754"/>
        <w:rPr>
          <w:sz w:val="2"/>
          <w:szCs w:val="2"/>
        </w:rPr>
      </w:pPr>
      <w:r>
        <w:rPr>
          <w:noProof/>
          <w:lang w:eastAsia="uk-UA"/>
        </w:rPr>
        <w:drawing>
          <wp:inline distT="0" distB="0" distL="0" distR="0" wp14:anchorId="4C1616A9" wp14:editId="0670349A">
            <wp:extent cx="4657725" cy="523875"/>
            <wp:effectExtent l="0" t="0" r="9525" b="9525"/>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pic:blipFill>
                  <pic:spPr>
                    <a:xfrm>
                      <a:off x="0" y="0"/>
                      <a:ext cx="4657725" cy="523875"/>
                    </a:xfrm>
                    <a:prstGeom prst="rect">
                      <a:avLst/>
                    </a:prstGeom>
                  </pic:spPr>
                </pic:pic>
              </a:graphicData>
            </a:graphic>
          </wp:inline>
        </w:drawing>
      </w:r>
    </w:p>
    <w:p w:rsidR="00B77992" w:rsidRDefault="00B77992" w:rsidP="008B455E">
      <w:pPr>
        <w:pStyle w:val="a6"/>
        <w:pBdr>
          <w:top w:val="single" w:sz="0" w:space="0" w:color="FBDD27"/>
          <w:left w:val="single" w:sz="0" w:space="0" w:color="FBDD27"/>
          <w:bottom w:val="single" w:sz="0" w:space="31" w:color="FBDD27"/>
          <w:right w:val="single" w:sz="0" w:space="0" w:color="FBDD27"/>
        </w:pBdr>
        <w:shd w:val="clear" w:color="auto" w:fill="FBDD27"/>
        <w:spacing w:after="0"/>
        <w:jc w:val="left"/>
      </w:pPr>
    </w:p>
    <w:p w:rsidR="008B455E" w:rsidRDefault="00B77992" w:rsidP="008B455E">
      <w:pPr>
        <w:pStyle w:val="a6"/>
        <w:pBdr>
          <w:top w:val="single" w:sz="0" w:space="0" w:color="FBDD27"/>
          <w:left w:val="single" w:sz="0" w:space="0" w:color="FBDD27"/>
          <w:bottom w:val="single" w:sz="0" w:space="31" w:color="FBDD27"/>
          <w:right w:val="single" w:sz="0" w:space="0" w:color="FBDD27"/>
        </w:pBdr>
        <w:shd w:val="clear" w:color="auto" w:fill="FBDD27"/>
        <w:spacing w:after="0"/>
        <w:jc w:val="left"/>
      </w:pPr>
      <w:r>
        <w:t xml:space="preserve">                 </w:t>
      </w:r>
      <w:r w:rsidR="003C7B6C">
        <w:t xml:space="preserve">                    </w:t>
      </w:r>
      <w:r w:rsidR="008B455E">
        <w:t>інтернет - світло - тепло - вода</w:t>
      </w:r>
    </w:p>
    <w:p w:rsidR="008B455E" w:rsidRDefault="008B455E" w:rsidP="008B455E">
      <w:pPr>
        <w:spacing w:line="1" w:lineRule="exact"/>
        <w:sectPr w:rsidR="008B455E" w:rsidSect="00294AFB">
          <w:pgSz w:w="11900" w:h="16840"/>
          <w:pgMar w:top="1134" w:right="843" w:bottom="360" w:left="1701" w:header="0" w:footer="3" w:gutter="0"/>
          <w:cols w:space="720"/>
          <w:noEndnote/>
          <w:docGrid w:linePitch="360"/>
        </w:sectPr>
      </w:pPr>
    </w:p>
    <w:p w:rsidR="008B455E" w:rsidRDefault="008B455E" w:rsidP="008B455E">
      <w:pPr>
        <w:spacing w:line="1" w:lineRule="exact"/>
      </w:pPr>
    </w:p>
    <w:p w:rsidR="008B455E" w:rsidRDefault="008B455E" w:rsidP="008B455E">
      <w:pPr>
        <w:pStyle w:val="a8"/>
        <w:shd w:val="clear" w:color="auto" w:fill="auto"/>
        <w:jc w:val="right"/>
      </w:pPr>
      <w:r>
        <w:t xml:space="preserve">Додаток </w:t>
      </w:r>
      <w:r w:rsidRPr="00F229FD">
        <w:rPr>
          <w:lang w:val="ru-RU" w:bidi="en-US"/>
        </w:rPr>
        <w:t>5</w:t>
      </w:r>
    </w:p>
    <w:p w:rsidR="008B455E" w:rsidRDefault="008B455E" w:rsidP="008B455E">
      <w:pPr>
        <w:pStyle w:val="a8"/>
        <w:shd w:val="clear" w:color="auto" w:fill="auto"/>
        <w:jc w:val="right"/>
      </w:pPr>
      <w:r>
        <w:t>до Порядку</w:t>
      </w:r>
    </w:p>
    <w:p w:rsidR="008B455E" w:rsidRDefault="008B455E" w:rsidP="008B455E">
      <w:pPr>
        <w:pStyle w:val="a8"/>
        <w:shd w:val="clear" w:color="auto" w:fill="auto"/>
        <w:jc w:val="right"/>
      </w:pPr>
    </w:p>
    <w:p w:rsidR="008B455E" w:rsidRDefault="008B455E" w:rsidP="008B455E">
      <w:pPr>
        <w:pStyle w:val="a8"/>
        <w:shd w:val="clear" w:color="auto" w:fill="auto"/>
        <w:jc w:val="right"/>
      </w:pPr>
    </w:p>
    <w:p w:rsidR="008B455E" w:rsidRDefault="008B455E" w:rsidP="008B455E">
      <w:pPr>
        <w:pStyle w:val="a8"/>
        <w:shd w:val="clear" w:color="auto" w:fill="auto"/>
        <w:jc w:val="right"/>
      </w:pPr>
    </w:p>
    <w:p w:rsidR="008B455E" w:rsidRPr="00294AFB" w:rsidRDefault="008B455E" w:rsidP="008B455E">
      <w:pPr>
        <w:pStyle w:val="1"/>
        <w:shd w:val="clear" w:color="auto" w:fill="auto"/>
        <w:spacing w:after="0"/>
        <w:ind w:firstLine="0"/>
        <w:jc w:val="center"/>
        <w:rPr>
          <w:b/>
          <w:bCs/>
        </w:rPr>
      </w:pPr>
      <w:r w:rsidRPr="00294AFB">
        <w:rPr>
          <w:b/>
          <w:bCs/>
        </w:rPr>
        <w:t>ПРИМІРНА ФОРМА</w:t>
      </w:r>
      <w:r w:rsidRPr="00294AFB">
        <w:rPr>
          <w:b/>
          <w:bCs/>
        </w:rPr>
        <w:br/>
        <w:t>вивіски пункту незламності</w:t>
      </w:r>
    </w:p>
    <w:p w:rsidR="00294AFB" w:rsidRDefault="00294AFB" w:rsidP="008B455E">
      <w:pPr>
        <w:pStyle w:val="1"/>
        <w:shd w:val="clear" w:color="auto" w:fill="auto"/>
        <w:spacing w:after="0"/>
        <w:ind w:firstLine="0"/>
        <w:jc w:val="center"/>
      </w:pPr>
    </w:p>
    <w:p w:rsidR="003C7B6C" w:rsidRDefault="003C7B6C" w:rsidP="003C7B6C">
      <w:pPr>
        <w:pStyle w:val="20"/>
        <w:pBdr>
          <w:top w:val="single" w:sz="0" w:space="0" w:color="FAE100"/>
          <w:left w:val="single" w:sz="0" w:space="0" w:color="FAE100"/>
          <w:bottom w:val="single" w:sz="0" w:space="31" w:color="FAE100"/>
          <w:right w:val="single" w:sz="0" w:space="0" w:color="FAE100"/>
        </w:pBdr>
        <w:shd w:val="clear" w:color="auto" w:fill="FAE100"/>
        <w:spacing w:after="0" w:line="240" w:lineRule="auto"/>
      </w:pPr>
      <w:bookmarkStart w:id="3" w:name="bookmark4"/>
      <w:bookmarkStart w:id="4" w:name="bookmark5"/>
    </w:p>
    <w:p w:rsidR="00B77992" w:rsidRDefault="008B455E" w:rsidP="003C7B6C">
      <w:pPr>
        <w:pStyle w:val="20"/>
        <w:pBdr>
          <w:top w:val="single" w:sz="0" w:space="0" w:color="FAE100"/>
          <w:left w:val="single" w:sz="0" w:space="0" w:color="FAE100"/>
          <w:bottom w:val="single" w:sz="0" w:space="31" w:color="FAE100"/>
          <w:right w:val="single" w:sz="0" w:space="0" w:color="FAE100"/>
        </w:pBdr>
        <w:shd w:val="clear" w:color="auto" w:fill="FAE100"/>
        <w:spacing w:after="0" w:line="240" w:lineRule="auto"/>
      </w:pPr>
      <w:r>
        <w:t>ПУНКТ</w:t>
      </w:r>
      <w:r>
        <w:br/>
        <w:t>НЕЗЛАМНОСТІ</w:t>
      </w:r>
      <w:bookmarkStart w:id="5" w:name="bookmark6"/>
      <w:bookmarkStart w:id="6" w:name="bookmark7"/>
      <w:bookmarkEnd w:id="3"/>
      <w:bookmarkEnd w:id="4"/>
      <w:r w:rsidR="00B77992">
        <w:t xml:space="preserve">   </w:t>
      </w:r>
    </w:p>
    <w:p w:rsidR="00B77992" w:rsidRDefault="00B77992" w:rsidP="003C7B6C">
      <w:pPr>
        <w:pStyle w:val="20"/>
        <w:pBdr>
          <w:top w:val="single" w:sz="0" w:space="0" w:color="FAE100"/>
          <w:left w:val="single" w:sz="0" w:space="0" w:color="FAE100"/>
          <w:bottom w:val="single" w:sz="0" w:space="31" w:color="FAE100"/>
          <w:right w:val="single" w:sz="0" w:space="0" w:color="FAE100"/>
        </w:pBdr>
        <w:shd w:val="clear" w:color="auto" w:fill="FAE100"/>
        <w:spacing w:after="0" w:line="240" w:lineRule="auto"/>
        <w:rPr>
          <w:sz w:val="36"/>
          <w:szCs w:val="36"/>
        </w:rPr>
      </w:pPr>
    </w:p>
    <w:p w:rsidR="00B77992" w:rsidRDefault="008B455E" w:rsidP="003C7B6C">
      <w:pPr>
        <w:pStyle w:val="20"/>
        <w:pBdr>
          <w:top w:val="single" w:sz="0" w:space="0" w:color="FAE100"/>
          <w:left w:val="single" w:sz="0" w:space="0" w:color="FAE100"/>
          <w:bottom w:val="single" w:sz="0" w:space="31" w:color="FAE100"/>
          <w:right w:val="single" w:sz="0" w:space="0" w:color="FAE100"/>
        </w:pBdr>
        <w:shd w:val="clear" w:color="auto" w:fill="FAE100"/>
        <w:spacing w:after="0" w:line="240" w:lineRule="auto"/>
        <w:rPr>
          <w:sz w:val="36"/>
          <w:szCs w:val="36"/>
        </w:rPr>
      </w:pPr>
      <w:r w:rsidRPr="00B77992">
        <w:rPr>
          <w:sz w:val="36"/>
          <w:szCs w:val="36"/>
        </w:rPr>
        <w:t>тут Є</w:t>
      </w:r>
      <w:bookmarkEnd w:id="5"/>
      <w:bookmarkEnd w:id="6"/>
    </w:p>
    <w:p w:rsidR="00B77992" w:rsidRDefault="00B77992" w:rsidP="003C7B6C">
      <w:pPr>
        <w:pStyle w:val="20"/>
        <w:pBdr>
          <w:top w:val="single" w:sz="0" w:space="0" w:color="FAE100"/>
          <w:left w:val="single" w:sz="0" w:space="0" w:color="FAE100"/>
          <w:bottom w:val="single" w:sz="0" w:space="31" w:color="FAE100"/>
          <w:right w:val="single" w:sz="0" w:space="0" w:color="FAE100"/>
        </w:pBdr>
        <w:shd w:val="clear" w:color="auto" w:fill="FAE100"/>
        <w:spacing w:after="0" w:line="240" w:lineRule="auto"/>
        <w:rPr>
          <w:sz w:val="36"/>
          <w:szCs w:val="36"/>
        </w:rPr>
      </w:pPr>
    </w:p>
    <w:p w:rsidR="008B455E" w:rsidRPr="00B77992" w:rsidRDefault="00B77992" w:rsidP="003C7B6C">
      <w:pPr>
        <w:pStyle w:val="20"/>
        <w:pBdr>
          <w:top w:val="single" w:sz="0" w:space="0" w:color="FAE100"/>
          <w:left w:val="single" w:sz="0" w:space="0" w:color="FAE100"/>
          <w:bottom w:val="single" w:sz="0" w:space="31" w:color="FAE100"/>
          <w:right w:val="single" w:sz="0" w:space="0" w:color="FAE100"/>
        </w:pBdr>
        <w:shd w:val="clear" w:color="auto" w:fill="FAE100"/>
        <w:spacing w:after="0" w:line="240" w:lineRule="auto"/>
      </w:pPr>
      <w:r w:rsidRPr="00B77992">
        <w:rPr>
          <w:noProof/>
          <w:highlight w:val="yellow"/>
          <w:lang w:eastAsia="uk-UA"/>
        </w:rPr>
        <w:drawing>
          <wp:inline distT="0" distB="0" distL="0" distR="0" wp14:anchorId="6C9373D9" wp14:editId="6FD036C1">
            <wp:extent cx="5400675" cy="590550"/>
            <wp:effectExtent l="0" t="0" r="9525"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pic:blipFill>
                  <pic:spPr>
                    <a:xfrm>
                      <a:off x="0" y="0"/>
                      <a:ext cx="5400675" cy="590550"/>
                    </a:xfrm>
                    <a:prstGeom prst="rect">
                      <a:avLst/>
                    </a:prstGeom>
                  </pic:spPr>
                </pic:pic>
              </a:graphicData>
            </a:graphic>
          </wp:inline>
        </w:drawing>
      </w:r>
      <w:r>
        <w:t xml:space="preserve">   </w:t>
      </w:r>
    </w:p>
    <w:p w:rsidR="008B455E" w:rsidRDefault="008B455E" w:rsidP="003C7B6C">
      <w:pPr>
        <w:framePr w:wrap="none" w:vAnchor="page" w:hAnchor="page" w:x="3164" w:y="7821"/>
        <w:rPr>
          <w:sz w:val="2"/>
          <w:szCs w:val="2"/>
        </w:rPr>
      </w:pPr>
    </w:p>
    <w:p w:rsidR="00B77992" w:rsidRPr="003C7B6C" w:rsidRDefault="00B77992" w:rsidP="003C7B6C">
      <w:pPr>
        <w:pStyle w:val="40"/>
        <w:pBdr>
          <w:top w:val="single" w:sz="0" w:space="31" w:color="FAE100"/>
          <w:left w:val="single" w:sz="0" w:space="0" w:color="FAE100"/>
          <w:bottom w:val="single" w:sz="0" w:space="31" w:color="FAE100"/>
          <w:right w:val="single" w:sz="0" w:space="0" w:color="FAE100"/>
        </w:pBdr>
        <w:shd w:val="clear" w:color="auto" w:fill="FAE100"/>
        <w:spacing w:after="0"/>
        <w:rPr>
          <w:sz w:val="32"/>
          <w:szCs w:val="32"/>
        </w:rPr>
      </w:pPr>
      <w:bookmarkStart w:id="7" w:name="bookmark8"/>
      <w:bookmarkStart w:id="8" w:name="bookmark9"/>
      <w:r w:rsidRPr="003C7B6C">
        <w:rPr>
          <w:sz w:val="32"/>
          <w:szCs w:val="32"/>
        </w:rPr>
        <w:t>інтернет    світло     тепло    вода</w:t>
      </w:r>
      <w:bookmarkEnd w:id="7"/>
      <w:bookmarkEnd w:id="8"/>
    </w:p>
    <w:p w:rsidR="003C7B6C" w:rsidRDefault="003C7B6C" w:rsidP="003C7B6C">
      <w:pPr>
        <w:pStyle w:val="22"/>
        <w:shd w:val="clear" w:color="auto" w:fill="auto"/>
        <w:rPr>
          <w:b/>
          <w:bCs/>
          <w:sz w:val="28"/>
          <w:szCs w:val="28"/>
        </w:rPr>
      </w:pPr>
    </w:p>
    <w:p w:rsidR="003C7B6C" w:rsidRDefault="003C7B6C" w:rsidP="003C7B6C">
      <w:pPr>
        <w:pStyle w:val="22"/>
        <w:shd w:val="clear" w:color="auto" w:fill="auto"/>
        <w:rPr>
          <w:b/>
          <w:bCs/>
          <w:sz w:val="28"/>
          <w:szCs w:val="28"/>
        </w:rPr>
      </w:pPr>
    </w:p>
    <w:p w:rsidR="003C7B6C" w:rsidRPr="00294AFB" w:rsidRDefault="003C7B6C" w:rsidP="003C7B6C">
      <w:pPr>
        <w:pStyle w:val="22"/>
        <w:shd w:val="clear" w:color="auto" w:fill="auto"/>
        <w:rPr>
          <w:b/>
          <w:bCs/>
          <w:sz w:val="28"/>
          <w:szCs w:val="28"/>
        </w:rPr>
      </w:pPr>
      <w:r w:rsidRPr="00294AFB">
        <w:rPr>
          <w:b/>
          <w:bCs/>
          <w:sz w:val="28"/>
          <w:szCs w:val="28"/>
        </w:rPr>
        <w:t>* Вивіска формату А-1</w:t>
      </w:r>
    </w:p>
    <w:p w:rsidR="0027490F" w:rsidRDefault="00B77992" w:rsidP="008B455E">
      <w:pPr>
        <w:jc w:val="both"/>
      </w:pPr>
      <w:r>
        <w:t xml:space="preserve">                         </w:t>
      </w:r>
    </w:p>
    <w:sectPr w:rsidR="00274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D3D1D"/>
    <w:multiLevelType w:val="multilevel"/>
    <w:tmpl w:val="A9CC6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A44295"/>
    <w:multiLevelType w:val="multilevel"/>
    <w:tmpl w:val="9524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CD6129"/>
    <w:multiLevelType w:val="multilevel"/>
    <w:tmpl w:val="6FF0A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A51CB0"/>
    <w:multiLevelType w:val="multilevel"/>
    <w:tmpl w:val="819A7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5D039B"/>
    <w:multiLevelType w:val="multilevel"/>
    <w:tmpl w:val="DFDEC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3D168B8"/>
    <w:multiLevelType w:val="multilevel"/>
    <w:tmpl w:val="7046A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C3"/>
    <w:rsid w:val="000C608D"/>
    <w:rsid w:val="00114D49"/>
    <w:rsid w:val="00177C6B"/>
    <w:rsid w:val="001C250B"/>
    <w:rsid w:val="0027490F"/>
    <w:rsid w:val="00294AFB"/>
    <w:rsid w:val="003C02FC"/>
    <w:rsid w:val="003C7B6C"/>
    <w:rsid w:val="004D6D88"/>
    <w:rsid w:val="0067620E"/>
    <w:rsid w:val="007C78D5"/>
    <w:rsid w:val="00817681"/>
    <w:rsid w:val="008B455E"/>
    <w:rsid w:val="008F21C3"/>
    <w:rsid w:val="009257DD"/>
    <w:rsid w:val="00B77992"/>
    <w:rsid w:val="00CB1497"/>
    <w:rsid w:val="00DF2D35"/>
    <w:rsid w:val="00EB6B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DE1D6-8343-4774-89B9-EE15D40D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2"/>
        <w:lang w:val="uk-UA" w:eastAsia="en-US" w:bidi="ar-SA"/>
      </w:rPr>
    </w:rPrDefault>
    <w:pPrDefault>
      <w:pPr>
        <w:ind w:right="567"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1C3"/>
    <w:pPr>
      <w:ind w:right="0" w:firstLine="0"/>
      <w:jc w:val="left"/>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F21C3"/>
    <w:rPr>
      <w:color w:val="0000FF"/>
      <w:u w:val="single"/>
    </w:rPr>
  </w:style>
  <w:style w:type="character" w:customStyle="1" w:styleId="UnresolvedMention">
    <w:name w:val="Unresolved Mention"/>
    <w:basedOn w:val="a0"/>
    <w:uiPriority w:val="99"/>
    <w:semiHidden/>
    <w:unhideWhenUsed/>
    <w:rsid w:val="008B455E"/>
    <w:rPr>
      <w:color w:val="605E5C"/>
      <w:shd w:val="clear" w:color="auto" w:fill="E1DFDD"/>
    </w:rPr>
  </w:style>
  <w:style w:type="character" w:customStyle="1" w:styleId="3">
    <w:name w:val="Заголовок №3_"/>
    <w:basedOn w:val="a0"/>
    <w:link w:val="30"/>
    <w:rsid w:val="008B455E"/>
    <w:rPr>
      <w:rFonts w:eastAsia="Times New Roman" w:cs="Times New Roman"/>
      <w:b/>
      <w:bCs/>
      <w:sz w:val="40"/>
      <w:szCs w:val="40"/>
      <w:shd w:val="clear" w:color="auto" w:fill="FFFFFF"/>
    </w:rPr>
  </w:style>
  <w:style w:type="character" w:customStyle="1" w:styleId="a4">
    <w:name w:val="Основной текст_"/>
    <w:basedOn w:val="a0"/>
    <w:link w:val="1"/>
    <w:rsid w:val="008B455E"/>
    <w:rPr>
      <w:rFonts w:eastAsia="Times New Roman" w:cs="Times New Roman"/>
      <w:szCs w:val="28"/>
      <w:shd w:val="clear" w:color="auto" w:fill="FFFFFF"/>
    </w:rPr>
  </w:style>
  <w:style w:type="character" w:customStyle="1" w:styleId="a5">
    <w:name w:val="Подпись к картинке_"/>
    <w:basedOn w:val="a0"/>
    <w:link w:val="a6"/>
    <w:rsid w:val="008B455E"/>
    <w:rPr>
      <w:rFonts w:eastAsia="Times New Roman" w:cs="Times New Roman"/>
      <w:b/>
      <w:bCs/>
      <w:szCs w:val="28"/>
      <w:shd w:val="clear" w:color="auto" w:fill="FFFFFF"/>
    </w:rPr>
  </w:style>
  <w:style w:type="character" w:customStyle="1" w:styleId="a7">
    <w:name w:val="Колонтитул_"/>
    <w:basedOn w:val="a0"/>
    <w:link w:val="a8"/>
    <w:rsid w:val="008B455E"/>
    <w:rPr>
      <w:rFonts w:eastAsia="Times New Roman" w:cs="Times New Roman"/>
      <w:szCs w:val="28"/>
      <w:shd w:val="clear" w:color="auto" w:fill="FFFFFF"/>
    </w:rPr>
  </w:style>
  <w:style w:type="character" w:customStyle="1" w:styleId="10">
    <w:name w:val="Заголовок №1_"/>
    <w:basedOn w:val="a0"/>
    <w:link w:val="11"/>
    <w:rsid w:val="008B455E"/>
    <w:rPr>
      <w:rFonts w:ascii="Arial" w:eastAsia="Arial" w:hAnsi="Arial" w:cs="Arial"/>
      <w:b/>
      <w:bCs/>
      <w:sz w:val="92"/>
      <w:szCs w:val="92"/>
      <w:shd w:val="clear" w:color="auto" w:fill="FFFFFF"/>
    </w:rPr>
  </w:style>
  <w:style w:type="character" w:customStyle="1" w:styleId="2">
    <w:name w:val="Заголовок №2_"/>
    <w:basedOn w:val="a0"/>
    <w:link w:val="20"/>
    <w:rsid w:val="008B455E"/>
    <w:rPr>
      <w:rFonts w:ascii="Arial" w:eastAsia="Arial" w:hAnsi="Arial" w:cs="Arial"/>
      <w:b/>
      <w:bCs/>
      <w:color w:val="2A230E"/>
      <w:sz w:val="86"/>
      <w:szCs w:val="86"/>
      <w:shd w:val="clear" w:color="auto" w:fill="FFFFFF"/>
    </w:rPr>
  </w:style>
  <w:style w:type="character" w:customStyle="1" w:styleId="4">
    <w:name w:val="Заголовок №4_"/>
    <w:basedOn w:val="a0"/>
    <w:link w:val="40"/>
    <w:rsid w:val="008B455E"/>
    <w:rPr>
      <w:rFonts w:ascii="Arial" w:eastAsia="Arial" w:hAnsi="Arial" w:cs="Arial"/>
      <w:b/>
      <w:bCs/>
      <w:color w:val="2A230E"/>
      <w:w w:val="60"/>
      <w:sz w:val="30"/>
      <w:szCs w:val="30"/>
      <w:shd w:val="clear" w:color="auto" w:fill="FFFFFF"/>
    </w:rPr>
  </w:style>
  <w:style w:type="character" w:customStyle="1" w:styleId="21">
    <w:name w:val="Основной текст (2)_"/>
    <w:basedOn w:val="a0"/>
    <w:link w:val="22"/>
    <w:rsid w:val="008B455E"/>
    <w:rPr>
      <w:rFonts w:eastAsia="Times New Roman" w:cs="Times New Roman"/>
      <w:sz w:val="22"/>
      <w:shd w:val="clear" w:color="auto" w:fill="FFFFFF"/>
    </w:rPr>
  </w:style>
  <w:style w:type="paragraph" w:customStyle="1" w:styleId="30">
    <w:name w:val="Заголовок №3"/>
    <w:basedOn w:val="a"/>
    <w:link w:val="3"/>
    <w:rsid w:val="008B455E"/>
    <w:pPr>
      <w:widowControl w:val="0"/>
      <w:shd w:val="clear" w:color="auto" w:fill="FFFFFF"/>
      <w:spacing w:after="340"/>
      <w:jc w:val="center"/>
      <w:outlineLvl w:val="2"/>
    </w:pPr>
    <w:rPr>
      <w:b/>
      <w:bCs/>
      <w:sz w:val="40"/>
      <w:szCs w:val="40"/>
      <w:lang w:eastAsia="en-US"/>
    </w:rPr>
  </w:style>
  <w:style w:type="paragraph" w:customStyle="1" w:styleId="1">
    <w:name w:val="Основной текст1"/>
    <w:basedOn w:val="a"/>
    <w:link w:val="a4"/>
    <w:rsid w:val="008B455E"/>
    <w:pPr>
      <w:widowControl w:val="0"/>
      <w:shd w:val="clear" w:color="auto" w:fill="FFFFFF"/>
      <w:spacing w:after="100"/>
      <w:ind w:firstLine="400"/>
    </w:pPr>
    <w:rPr>
      <w:lang w:eastAsia="en-US"/>
    </w:rPr>
  </w:style>
  <w:style w:type="paragraph" w:customStyle="1" w:styleId="a6">
    <w:name w:val="Подпись к картинке"/>
    <w:basedOn w:val="a"/>
    <w:link w:val="a5"/>
    <w:rsid w:val="008B455E"/>
    <w:pPr>
      <w:widowControl w:val="0"/>
      <w:shd w:val="clear" w:color="auto" w:fill="FFFFFF"/>
      <w:spacing w:after="80"/>
      <w:jc w:val="center"/>
    </w:pPr>
    <w:rPr>
      <w:b/>
      <w:bCs/>
      <w:lang w:eastAsia="en-US"/>
    </w:rPr>
  </w:style>
  <w:style w:type="paragraph" w:customStyle="1" w:styleId="a8">
    <w:name w:val="Колонтитул"/>
    <w:basedOn w:val="a"/>
    <w:link w:val="a7"/>
    <w:rsid w:val="008B455E"/>
    <w:pPr>
      <w:widowControl w:val="0"/>
      <w:shd w:val="clear" w:color="auto" w:fill="FFFFFF"/>
      <w:jc w:val="center"/>
    </w:pPr>
    <w:rPr>
      <w:lang w:eastAsia="en-US"/>
    </w:rPr>
  </w:style>
  <w:style w:type="paragraph" w:customStyle="1" w:styleId="11">
    <w:name w:val="Заголовок №1"/>
    <w:basedOn w:val="a"/>
    <w:link w:val="10"/>
    <w:rsid w:val="008B455E"/>
    <w:pPr>
      <w:widowControl w:val="0"/>
      <w:shd w:val="clear" w:color="auto" w:fill="FFFFFF"/>
      <w:spacing w:after="280" w:line="206" w:lineRule="auto"/>
      <w:jc w:val="center"/>
      <w:outlineLvl w:val="0"/>
    </w:pPr>
    <w:rPr>
      <w:rFonts w:ascii="Arial" w:eastAsia="Arial" w:hAnsi="Arial" w:cs="Arial"/>
      <w:b/>
      <w:bCs/>
      <w:sz w:val="92"/>
      <w:szCs w:val="92"/>
      <w:lang w:eastAsia="en-US"/>
    </w:rPr>
  </w:style>
  <w:style w:type="paragraph" w:customStyle="1" w:styleId="20">
    <w:name w:val="Заголовок №2"/>
    <w:basedOn w:val="a"/>
    <w:link w:val="2"/>
    <w:rsid w:val="008B455E"/>
    <w:pPr>
      <w:widowControl w:val="0"/>
      <w:shd w:val="clear" w:color="auto" w:fill="FFFFFF"/>
      <w:spacing w:after="1040" w:line="218" w:lineRule="auto"/>
      <w:jc w:val="center"/>
      <w:outlineLvl w:val="1"/>
    </w:pPr>
    <w:rPr>
      <w:rFonts w:ascii="Arial" w:eastAsia="Arial" w:hAnsi="Arial" w:cs="Arial"/>
      <w:b/>
      <w:bCs/>
      <w:color w:val="2A230E"/>
      <w:sz w:val="86"/>
      <w:szCs w:val="86"/>
      <w:lang w:eastAsia="en-US"/>
    </w:rPr>
  </w:style>
  <w:style w:type="paragraph" w:customStyle="1" w:styleId="40">
    <w:name w:val="Заголовок №4"/>
    <w:basedOn w:val="a"/>
    <w:link w:val="4"/>
    <w:rsid w:val="008B455E"/>
    <w:pPr>
      <w:widowControl w:val="0"/>
      <w:shd w:val="clear" w:color="auto" w:fill="FFFFFF"/>
      <w:spacing w:after="670"/>
      <w:jc w:val="center"/>
      <w:outlineLvl w:val="3"/>
    </w:pPr>
    <w:rPr>
      <w:rFonts w:ascii="Arial" w:eastAsia="Arial" w:hAnsi="Arial" w:cs="Arial"/>
      <w:b/>
      <w:bCs/>
      <w:color w:val="2A230E"/>
      <w:w w:val="60"/>
      <w:sz w:val="30"/>
      <w:szCs w:val="30"/>
      <w:lang w:eastAsia="en-US"/>
    </w:rPr>
  </w:style>
  <w:style w:type="paragraph" w:customStyle="1" w:styleId="22">
    <w:name w:val="Основной текст (2)"/>
    <w:basedOn w:val="a"/>
    <w:link w:val="21"/>
    <w:rsid w:val="008B455E"/>
    <w:pPr>
      <w:widowControl w:val="0"/>
      <w:shd w:val="clear" w:color="auto" w:fill="FFFFFF"/>
    </w:pPr>
    <w:rPr>
      <w:sz w:val="22"/>
      <w:szCs w:val="22"/>
      <w:lang w:eastAsia="en-US"/>
    </w:rPr>
  </w:style>
  <w:style w:type="paragraph" w:styleId="a9">
    <w:name w:val="Balloon Text"/>
    <w:basedOn w:val="a"/>
    <w:link w:val="aa"/>
    <w:uiPriority w:val="99"/>
    <w:semiHidden/>
    <w:unhideWhenUsed/>
    <w:rsid w:val="00B77992"/>
    <w:rPr>
      <w:rFonts w:ascii="Segoe UI" w:hAnsi="Segoe UI" w:cs="Segoe UI"/>
      <w:sz w:val="18"/>
      <w:szCs w:val="18"/>
    </w:rPr>
  </w:style>
  <w:style w:type="character" w:customStyle="1" w:styleId="aa">
    <w:name w:val="Текст выноски Знак"/>
    <w:basedOn w:val="a0"/>
    <w:link w:val="a9"/>
    <w:uiPriority w:val="99"/>
    <w:semiHidden/>
    <w:rsid w:val="00B77992"/>
    <w:rPr>
      <w:rFonts w:ascii="Segoe UI" w:eastAsia="Times New Roman" w:hAnsi="Segoe UI" w:cs="Segoe UI"/>
      <w:sz w:val="18"/>
      <w:szCs w:val="18"/>
      <w:lang w:eastAsia="ru-RU"/>
    </w:rPr>
  </w:style>
  <w:style w:type="table" w:styleId="ab">
    <w:name w:val="Table Grid"/>
    <w:basedOn w:val="a1"/>
    <w:uiPriority w:val="39"/>
    <w:rsid w:val="00CB1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11</Pages>
  <Words>8799</Words>
  <Characters>5016</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dc:creator>
  <cp:keywords/>
  <dc:description/>
  <cp:lastModifiedBy>Osvita</cp:lastModifiedBy>
  <cp:revision>6</cp:revision>
  <dcterms:created xsi:type="dcterms:W3CDTF">2023-01-03T12:13:00Z</dcterms:created>
  <dcterms:modified xsi:type="dcterms:W3CDTF">2023-01-11T03:19:00Z</dcterms:modified>
</cp:coreProperties>
</file>