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64055" w14:textId="77777777" w:rsidR="00B831AD" w:rsidRPr="009E2F4A" w:rsidRDefault="00E44DEE" w:rsidP="00B851E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9E2F4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</w:t>
      </w:r>
    </w:p>
    <w:p w14:paraId="03FEAB90" w14:textId="77777777" w:rsidR="00B831AD" w:rsidRPr="009E2F4A" w:rsidRDefault="00E44DE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2F4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1</w:t>
      </w:r>
    </w:p>
    <w:p w14:paraId="5C086D02" w14:textId="77777777" w:rsidR="00B831AD" w:rsidRDefault="00E44DE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E2F4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14:paraId="4A4ABA52" w14:textId="77777777" w:rsidR="000E252C" w:rsidRPr="00301C1C" w:rsidRDefault="000E252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  <w:szCs w:val="20"/>
          <w:lang w:val="uk-UA"/>
        </w:rPr>
      </w:pPr>
    </w:p>
    <w:p w14:paraId="74E10E5F" w14:textId="5B8FCE03" w:rsidR="000E252C" w:rsidRPr="00301C1C" w:rsidRDefault="000E252C" w:rsidP="00F0431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01C1C">
        <w:rPr>
          <w:rFonts w:ascii="Times New Roman" w:hAnsi="Times New Roman" w:cs="Times New Roman"/>
          <w:b/>
          <w:sz w:val="28"/>
          <w:lang w:val="uk-UA"/>
        </w:rPr>
        <w:t>Відповід</w:t>
      </w:r>
      <w:r w:rsidR="00385C9C" w:rsidRPr="00301C1C">
        <w:rPr>
          <w:rFonts w:ascii="Times New Roman" w:hAnsi="Times New Roman" w:cs="Times New Roman"/>
          <w:b/>
          <w:sz w:val="28"/>
          <w:lang w:val="uk-UA"/>
        </w:rPr>
        <w:t xml:space="preserve">ність учасника кваліфікаційним </w:t>
      </w:r>
      <w:r w:rsidRPr="00301C1C">
        <w:rPr>
          <w:rFonts w:ascii="Times New Roman" w:hAnsi="Times New Roman" w:cs="Times New Roman"/>
          <w:b/>
          <w:sz w:val="28"/>
          <w:lang w:val="uk-UA"/>
        </w:rPr>
        <w:t>критеріям</w:t>
      </w:r>
    </w:p>
    <w:p w14:paraId="78F1533C" w14:textId="77777777" w:rsidR="00B831AD" w:rsidRPr="009E2F4A" w:rsidRDefault="00E44DE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E2F4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 </w:t>
      </w:r>
    </w:p>
    <w:p w14:paraId="5D132765" w14:textId="221B7F6D" w:rsidR="00B831AD" w:rsidRPr="009E2F4A" w:rsidRDefault="00E44DEE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9E2F4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r w:rsidR="00C450E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України </w:t>
      </w:r>
      <w:r w:rsidRPr="009E2F4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“Про публічні закупівлі”:</w:t>
      </w:r>
    </w:p>
    <w:p w14:paraId="42DB3E9C" w14:textId="77777777" w:rsidR="00B831AD" w:rsidRPr="009E2F4A" w:rsidRDefault="00B831A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</w:p>
    <w:p w14:paraId="6FFDB63E" w14:textId="77777777" w:rsidR="00B831AD" w:rsidRPr="009E2F4A" w:rsidRDefault="00B831AD" w:rsidP="00B851E1">
      <w:pPr>
        <w:spacing w:after="0" w:line="240" w:lineRule="auto"/>
        <w:ind w:left="885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B73C74" w:rsidRPr="002908BA" w14:paraId="230936DC" w14:textId="77777777" w:rsidTr="00B851E1">
        <w:trPr>
          <w:trHeight w:val="1014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564FA" w14:textId="77777777" w:rsidR="00B831AD" w:rsidRPr="00C4222B" w:rsidRDefault="00E44DE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BFC9" w14:textId="77777777" w:rsidR="00B831AD" w:rsidRPr="00C4222B" w:rsidRDefault="00E44DE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b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D4A53" w14:textId="77777777" w:rsidR="00B831AD" w:rsidRPr="00C4222B" w:rsidRDefault="00E44DE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b/>
                <w:lang w:val="uk-UA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115FBF" w:rsidRPr="00C4222B" w14:paraId="2D81F220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472B" w14:textId="65A5EDDA" w:rsidR="00115FBF" w:rsidRPr="00C4222B" w:rsidRDefault="00D1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1AE2" w14:textId="77777777" w:rsidR="00115FBF" w:rsidRPr="00C4222B" w:rsidRDefault="00115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b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14:paraId="29A2BFAE" w14:textId="77777777" w:rsidR="00D152B0" w:rsidRPr="00C4222B" w:rsidRDefault="00D152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E1816E8" w14:textId="77777777" w:rsidR="00115FBF" w:rsidRPr="00C4222B" w:rsidRDefault="00115FBF" w:rsidP="00B8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i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57DF" w14:textId="76E3744C" w:rsidR="008D7D1D" w:rsidRPr="00C4222B" w:rsidRDefault="00491F59" w:rsidP="0058564B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115FBF" w:rsidRPr="00C4222B">
              <w:rPr>
                <w:rFonts w:ascii="Times New Roman" w:eastAsia="Times New Roman" w:hAnsi="Times New Roman" w:cs="Times New Roman"/>
                <w:lang w:val="uk-UA"/>
              </w:rPr>
              <w:t xml:space="preserve">.1. </w:t>
            </w:r>
            <w:r w:rsidR="008D7D1D" w:rsidRPr="00C4222B">
              <w:rPr>
                <w:rFonts w:ascii="Times New Roman" w:hAnsi="Times New Roman"/>
                <w:color w:val="000000"/>
                <w:lang w:val="uk-UA"/>
              </w:rPr>
              <w:t>Інформаційна довідка в довільній формі за підписом учасника (уповноваженого представника) про наявність достатньої кількості працівників відповідної кваліфікації, які мають необхідні знання та досвід для виконання послуг, вказаних в технічному завданні (вказати ПІБ, посади, досвід роботи всіх службових, посадових та ін.</w:t>
            </w:r>
            <w:r w:rsidR="00B272E2" w:rsidRPr="00C4222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8D7D1D" w:rsidRPr="00C4222B">
              <w:rPr>
                <w:rFonts w:ascii="Times New Roman" w:hAnsi="Times New Roman"/>
                <w:color w:val="000000"/>
                <w:lang w:val="uk-UA"/>
              </w:rPr>
              <w:t>(найманих) працівників, які будуть задіяні для виконання послуг по предмету закупівлі), зокрема:</w:t>
            </w:r>
          </w:p>
          <w:p w14:paraId="2555C1CE" w14:textId="423C8598" w:rsidR="008D7D1D" w:rsidRPr="00C4222B" w:rsidRDefault="008D7D1D" w:rsidP="008D7D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-</w:t>
            </w:r>
            <w:r w:rsidR="0058564B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Електромонтер </w:t>
            </w:r>
            <w:r w:rsidR="005B23A1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охоронно-пожежної сигналізації та/або 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електромонтер з ремонту та обслуговування електроустаткування, </w:t>
            </w:r>
            <w:r w:rsidR="005B23A1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та/або 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електромонтер з ремонту та обслуговування апаратури та пристроїв зв’язку, </w:t>
            </w:r>
            <w:r w:rsidR="005B23A1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та/або  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монтажник радіоел</w:t>
            </w:r>
            <w:r w:rsidR="005B23A1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ектронної апаратури та приладів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- </w:t>
            </w:r>
            <w:r w:rsidRPr="000E1FFF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не нижче 3-го розряду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- </w:t>
            </w:r>
            <w:r w:rsidRPr="002908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не менше </w:t>
            </w:r>
            <w:r w:rsidR="00B272E2" w:rsidRPr="002908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2</w:t>
            </w:r>
            <w:r w:rsidRPr="002908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="002908BA" w:rsidRPr="002908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(дво</w:t>
            </w:r>
            <w:r w:rsidR="00F04316" w:rsidRPr="002908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х) </w:t>
            </w:r>
            <w:r w:rsidRPr="002908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ос</w:t>
            </w:r>
            <w:r w:rsidR="00B272E2" w:rsidRPr="002908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іб</w:t>
            </w:r>
            <w:r w:rsidRPr="002908BA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.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</w:p>
          <w:p w14:paraId="15DF62E3" w14:textId="77777777" w:rsidR="008D7D1D" w:rsidRPr="00C4222B" w:rsidRDefault="008D7D1D" w:rsidP="008D7D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Для підтвердження </w:t>
            </w:r>
            <w:r w:rsidR="00A6084F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інформації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про працівників, зазначених у довідці Учасник подає:</w:t>
            </w:r>
          </w:p>
          <w:p w14:paraId="1ECF6AB6" w14:textId="6E9CA07F" w:rsidR="008D7D1D" w:rsidRPr="00C4222B" w:rsidRDefault="008D7D1D" w:rsidP="008D7D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-</w:t>
            </w:r>
            <w:r w:rsidR="00D152B0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скан</w:t>
            </w:r>
            <w:proofErr w:type="spellEnd"/>
            <w:r w:rsidR="00491F59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-</w:t>
            </w:r>
            <w:r w:rsidR="00491F59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копії кваліфі</w:t>
            </w:r>
            <w:r w:rsidR="000E1FFF">
              <w:rPr>
                <w:rFonts w:ascii="Times New Roman" w:eastAsia="Times New Roman" w:hAnsi="Times New Roman"/>
                <w:color w:val="000000"/>
                <w:lang w:val="uk-UA" w:eastAsia="uk-UA"/>
              </w:rPr>
              <w:t>каційних документів (свідоцтво та/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або сертифікат, </w:t>
            </w:r>
            <w:r w:rsidR="000E1FFF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та/</w:t>
            </w:r>
            <w:r w:rsidR="000E1FFF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або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посвідчення, </w:t>
            </w:r>
            <w:r w:rsidR="000E1FFF">
              <w:rPr>
                <w:rFonts w:ascii="Times New Roman" w:eastAsia="Times New Roman" w:hAnsi="Times New Roman"/>
                <w:color w:val="000000"/>
                <w:lang w:val="uk-UA" w:eastAsia="uk-UA"/>
              </w:rPr>
              <w:t>та/</w:t>
            </w:r>
            <w:r w:rsidR="000E1FFF"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>або</w:t>
            </w:r>
            <w:r w:rsidRPr="00C4222B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інший документ) про присвоєння відповідного розряду для виконавців робіт.</w:t>
            </w:r>
          </w:p>
          <w:p w14:paraId="09C60B45" w14:textId="77777777" w:rsidR="000E1FFF" w:rsidRPr="00C4222B" w:rsidRDefault="000E1F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23FA5E1" w14:textId="269EBAB2" w:rsidR="009752FD" w:rsidRPr="00C4222B" w:rsidRDefault="0049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115FBF" w:rsidRPr="00C4222B">
              <w:rPr>
                <w:rFonts w:ascii="Times New Roman" w:eastAsia="Times New Roman" w:hAnsi="Times New Roman" w:cs="Times New Roman"/>
                <w:lang w:val="uk-UA"/>
              </w:rPr>
              <w:t xml:space="preserve">.2. </w:t>
            </w:r>
            <w:r w:rsidR="009752FD" w:rsidRPr="00C4222B">
              <w:rPr>
                <w:rFonts w:ascii="Times New Roman" w:eastAsia="Times New Roman" w:hAnsi="Times New Roman" w:cs="Times New Roman"/>
                <w:lang w:val="uk-UA"/>
              </w:rPr>
              <w:t xml:space="preserve">Наявність працівників в достатній кількості підтверджується </w:t>
            </w:r>
            <w:proofErr w:type="spellStart"/>
            <w:r w:rsidR="009752FD" w:rsidRPr="00C4222B">
              <w:rPr>
                <w:rFonts w:ascii="Times New Roman" w:eastAsia="Times New Roman" w:hAnsi="Times New Roman" w:cs="Times New Roman"/>
                <w:lang w:val="uk-UA"/>
              </w:rPr>
              <w:t>скан-копією</w:t>
            </w:r>
            <w:proofErr w:type="spellEnd"/>
            <w:r w:rsidR="009752FD" w:rsidRPr="00C4222B">
              <w:rPr>
                <w:rFonts w:ascii="Times New Roman" w:eastAsia="Times New Roman" w:hAnsi="Times New Roman" w:cs="Times New Roman"/>
                <w:lang w:val="uk-UA"/>
              </w:rPr>
              <w:t xml:space="preserve"> поданої звітності за формою 1-ДФ за останній звітний період згідно чинного законодавства та/або повідомленням(ми) про прийняття на роботу працівників (якщо такі повідомлення подавалися після подання звітності) та/або трудовими книжками (1 сторінка та сторінки із записами про прийняття на роботу), та/або витягами з трудових книжок із записами про прийом на роботу, та/або наказами або витягами з наказів про прийняття на роботу.</w:t>
            </w:r>
          </w:p>
          <w:p w14:paraId="4FD80699" w14:textId="326D0E3D" w:rsidR="00115FBF" w:rsidRPr="00C4222B" w:rsidRDefault="00115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15FBF" w:rsidRPr="00C4222B" w14:paraId="0D8935DA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8798" w14:textId="00CCC25C" w:rsidR="00115FBF" w:rsidRPr="00C4222B" w:rsidRDefault="0097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C77B" w14:textId="77777777" w:rsidR="00115FBF" w:rsidRPr="00C4222B" w:rsidRDefault="00115F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b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1840" w14:textId="6C0C6909" w:rsidR="009752FD" w:rsidRPr="00C4222B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spellStart"/>
            <w:proofErr w:type="gram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ідтвердження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088619D" w14:textId="77777777" w:rsidR="009752FD" w:rsidRPr="00C4222B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2F68FC1" w14:textId="7ECA180A" w:rsidR="009752FD" w:rsidRPr="0093719E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, з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закупі</w:t>
            </w:r>
            <w:proofErr w:type="gram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і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договор</w:t>
            </w:r>
            <w:r w:rsidR="0093719E">
              <w:rPr>
                <w:rFonts w:ascii="Times New Roman" w:eastAsia="Times New Roman" w:hAnsi="Times New Roman" w:cs="Times New Roman"/>
                <w:color w:val="000000"/>
              </w:rPr>
              <w:t>ів</w:t>
            </w:r>
            <w:proofErr w:type="spellEnd"/>
            <w:r w:rsidR="0093719E">
              <w:rPr>
                <w:rFonts w:ascii="Times New Roman" w:eastAsia="Times New Roman" w:hAnsi="Times New Roman" w:cs="Times New Roman"/>
                <w:color w:val="000000"/>
              </w:rPr>
              <w:t xml:space="preserve">)  (не </w:t>
            </w:r>
            <w:proofErr w:type="spellStart"/>
            <w:r w:rsidR="0093719E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93719E">
              <w:rPr>
                <w:rFonts w:ascii="Times New Roman" w:eastAsia="Times New Roman" w:hAnsi="Times New Roman" w:cs="Times New Roman"/>
                <w:color w:val="000000"/>
              </w:rPr>
              <w:t xml:space="preserve"> одного договору)</w:t>
            </w:r>
            <w:r w:rsidR="0093719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14:paraId="75730BCB" w14:textId="77777777" w:rsidR="00621C7C" w:rsidRPr="00C4222B" w:rsidRDefault="00621C7C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B05BA9C" w14:textId="02BBED24" w:rsidR="00A40E13" w:rsidRPr="00C4222B" w:rsidRDefault="009752FD" w:rsidP="00A40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Аналогічним вважається договір, за яким учасник </w:t>
            </w:r>
            <w:r w:rsidR="008F2323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виконував роботи/надавав послуги з побудови</w:t>
            </w:r>
            <w:r w:rsidR="00E719BB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,</w:t>
            </w:r>
            <w:r w:rsidR="008F2323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створення та впровадження  системи </w:t>
            </w:r>
            <w:r w:rsidR="00E719BB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пожежогасіння та/або монтажу системи пожежної сигналізації</w:t>
            </w:r>
            <w:r w:rsidR="003373C3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,</w:t>
            </w:r>
            <w:r w:rsidR="00E719BB" w:rsidRPr="00C4222B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6C4D8F" w:rsidRPr="00C4222B">
              <w:rPr>
                <w:rFonts w:ascii="Times New Roman" w:hAnsi="Times New Roman" w:cs="Times New Roman"/>
                <w:b/>
                <w:i/>
                <w:lang w:val="uk-UA"/>
              </w:rPr>
              <w:t xml:space="preserve">та/або </w:t>
            </w:r>
            <w:r w:rsidR="00E719BB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монтування системи авт</w:t>
            </w:r>
            <w:r w:rsidR="006C4D8F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омат</w:t>
            </w:r>
            <w:r w:rsidR="003373C3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ичної пожежної сигналізації, та/</w:t>
            </w:r>
            <w:r w:rsidR="006C4D8F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або </w:t>
            </w:r>
            <w:r w:rsidR="0093719E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улаштування системи</w:t>
            </w:r>
            <w:r w:rsidR="00A40E1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пожежної </w:t>
            </w:r>
            <w:r w:rsidR="00A40E1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lastRenderedPageBreak/>
              <w:t>сигналізації, та/або монтажу системи</w:t>
            </w:r>
            <w:r w:rsidR="00A40E13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r w:rsidR="00A40E13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>протипожежного захисту</w:t>
            </w:r>
            <w:r w:rsidR="00A40E13" w:rsidRPr="00C4222B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t xml:space="preserve">. </w:t>
            </w:r>
          </w:p>
          <w:p w14:paraId="096ED2B0" w14:textId="1652A161" w:rsidR="009752FD" w:rsidRPr="00C4222B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</w:p>
          <w:p w14:paraId="1AF19543" w14:textId="77777777" w:rsidR="009752FD" w:rsidRPr="00C4222B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</w:p>
          <w:p w14:paraId="7B954FFF" w14:textId="7191B644" w:rsidR="009752FD" w:rsidRPr="00C4222B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22B">
              <w:rPr>
                <w:rFonts w:ascii="Times New Roman" w:eastAsia="Times New Roman" w:hAnsi="Times New Roman" w:cs="Times New Roman"/>
              </w:rPr>
              <w:t>в</w:t>
            </w:r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4222B">
              <w:rPr>
                <w:rFonts w:ascii="Times New Roman" w:eastAsia="Times New Roman" w:hAnsi="Times New Roman" w:cs="Times New Roman"/>
              </w:rPr>
              <w:t>в</w:t>
            </w:r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повному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обсязі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4222B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 усіма додатками та додатковими угодами у разі наявності</w:t>
            </w:r>
            <w:r w:rsidRPr="00C4222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 період виконання у поточному або за попередні роки (</w:t>
            </w:r>
            <w:proofErr w:type="gramStart"/>
            <w:r w:rsidRPr="00C4222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кр</w:t>
            </w:r>
            <w:proofErr w:type="gramEnd"/>
            <w:r w:rsidRPr="00C4222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ім інформації, що становить комерційну таємницю);</w:t>
            </w:r>
          </w:p>
          <w:p w14:paraId="2A2AF455" w14:textId="77777777" w:rsidR="009752FD" w:rsidRPr="00C4222B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14:paraId="4CEC1CBF" w14:textId="23E16C8B" w:rsidR="009752FD" w:rsidRPr="00C4222B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4222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.1.3. </w:t>
            </w:r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лист</w:t>
            </w:r>
            <w:r w:rsidRPr="00C4222B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відгук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або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рекомендаційний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лист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тощо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) (не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менше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одного)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контрагента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згідно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з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аналогічн</w:t>
            </w:r>
            <w:r w:rsidRPr="00C4222B">
              <w:rPr>
                <w:rFonts w:ascii="Times New Roman" w:eastAsia="Times New Roman" w:hAnsi="Times New Roman" w:cs="Times New Roman"/>
                <w:highlight w:val="white"/>
              </w:rPr>
              <w:t>им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договор</w:t>
            </w:r>
            <w:r w:rsidRPr="00C4222B">
              <w:rPr>
                <w:rFonts w:ascii="Times New Roman" w:eastAsia="Times New Roman" w:hAnsi="Times New Roman" w:cs="Times New Roman"/>
                <w:highlight w:val="white"/>
              </w:rPr>
              <w:t>ом</w:t>
            </w:r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який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зазначено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 w:rsidRPr="00C4222B">
              <w:rPr>
                <w:rFonts w:ascii="Times New Roman" w:eastAsia="Times New Roman" w:hAnsi="Times New Roman" w:cs="Times New Roman"/>
                <w:highlight w:val="white"/>
              </w:rPr>
              <w:t>в</w:t>
            </w:r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дов</w:t>
            </w:r>
            <w:proofErr w:type="gram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ідці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та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надано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у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складі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тендерної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</w:t>
            </w:r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опозиції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r w:rsidR="00AF4C54" w:rsidRPr="007D0DF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uk-UA"/>
              </w:rPr>
              <w:t>повне</w:t>
            </w:r>
            <w:r w:rsidR="0018754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C422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C4222B">
              <w:rPr>
                <w:rFonts w:ascii="Times New Roman" w:eastAsia="Times New Roman" w:hAnsi="Times New Roman" w:cs="Times New Roman"/>
                <w:color w:val="000000"/>
              </w:rPr>
              <w:t xml:space="preserve"> договору. </w:t>
            </w:r>
          </w:p>
          <w:p w14:paraId="1917AA40" w14:textId="77777777" w:rsidR="009752FD" w:rsidRPr="00C4222B" w:rsidRDefault="009752FD" w:rsidP="0097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</w:rPr>
            </w:pPr>
          </w:p>
          <w:p w14:paraId="3BEB0B14" w14:textId="61405842" w:rsidR="009752FD" w:rsidRPr="00C4222B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222B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До уваги учасників: Враховується лише той договір, який</w:t>
            </w:r>
            <w:r w:rsidR="007D0DFE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був виконаний в повному обсязі.</w:t>
            </w:r>
          </w:p>
          <w:p w14:paraId="211A6B0B" w14:textId="77777777" w:rsidR="00115FBF" w:rsidRPr="00C4222B" w:rsidRDefault="00115FBF" w:rsidP="00AF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63E3B027" w14:textId="77777777" w:rsidR="00B831AD" w:rsidRPr="009E2F4A" w:rsidRDefault="00E44DE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E2F4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0E9BEB5" w14:textId="77777777" w:rsidR="006B615E" w:rsidRPr="009E2F4A" w:rsidRDefault="006B615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7A728E12" w14:textId="77777777" w:rsidR="00565375" w:rsidRDefault="00565375">
      <w:pPr>
        <w:rPr>
          <w:rFonts w:ascii="Times New Roman" w:hAnsi="Times New Roman"/>
          <w:b/>
          <w:color w:val="000000"/>
          <w:u w:val="single"/>
          <w:lang w:val="uk-UA"/>
        </w:rPr>
      </w:pPr>
      <w:r>
        <w:rPr>
          <w:rFonts w:ascii="Times New Roman" w:hAnsi="Times New Roman"/>
          <w:b/>
          <w:color w:val="000000"/>
          <w:u w:val="single"/>
          <w:lang w:val="uk-UA"/>
        </w:rPr>
        <w:br w:type="page"/>
      </w:r>
    </w:p>
    <w:p w14:paraId="1245E6DF" w14:textId="23D9ED55" w:rsidR="008323A9" w:rsidRDefault="005473A3" w:rsidP="006B615E">
      <w:pPr>
        <w:jc w:val="center"/>
        <w:rPr>
          <w:rFonts w:ascii="Times New Roman" w:hAnsi="Times New Roman"/>
          <w:b/>
          <w:color w:val="000000"/>
          <w:u w:val="single"/>
          <w:lang w:val="uk-UA"/>
        </w:rPr>
      </w:pPr>
      <w:r>
        <w:rPr>
          <w:rFonts w:ascii="Times New Roman" w:hAnsi="Times New Roman"/>
          <w:b/>
          <w:color w:val="000000"/>
          <w:u w:val="single"/>
          <w:lang w:val="uk-UA"/>
        </w:rPr>
        <w:lastRenderedPageBreak/>
        <w:t xml:space="preserve">2. </w:t>
      </w:r>
      <w:r w:rsidR="008323A9" w:rsidRPr="009E2F4A">
        <w:rPr>
          <w:rFonts w:ascii="Times New Roman" w:hAnsi="Times New Roman"/>
          <w:b/>
          <w:color w:val="000000"/>
          <w:u w:val="single"/>
          <w:lang w:val="uk-UA"/>
        </w:rPr>
        <w:t>Інші документи</w:t>
      </w:r>
      <w:r w:rsidR="00CF1F75">
        <w:rPr>
          <w:rFonts w:ascii="Times New Roman" w:hAnsi="Times New Roman"/>
          <w:b/>
          <w:color w:val="000000"/>
          <w:u w:val="single"/>
          <w:lang w:val="uk-UA"/>
        </w:rPr>
        <w:t xml:space="preserve"> які учасник повинен надати у складі пропозиції</w:t>
      </w:r>
      <w:r w:rsidR="008323A9" w:rsidRPr="009E2F4A">
        <w:rPr>
          <w:rFonts w:ascii="Times New Roman" w:hAnsi="Times New Roman"/>
          <w:b/>
          <w:color w:val="000000"/>
          <w:u w:val="single"/>
          <w:lang w:val="uk-UA"/>
        </w:rPr>
        <w:t>:</w:t>
      </w:r>
    </w:p>
    <w:p w14:paraId="1FEC2E2A" w14:textId="77777777" w:rsidR="005473A3" w:rsidRPr="00C11169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C11169">
        <w:rPr>
          <w:rFonts w:ascii="Times New Roman" w:hAnsi="Times New Roman"/>
          <w:color w:val="000000"/>
          <w:szCs w:val="24"/>
          <w:lang w:val="uk-UA"/>
        </w:rPr>
        <w:t xml:space="preserve">2.1. </w:t>
      </w:r>
      <w:proofErr w:type="spellStart"/>
      <w:r w:rsidRPr="00C11169">
        <w:rPr>
          <w:rFonts w:ascii="Times New Roman" w:hAnsi="Times New Roman"/>
          <w:color w:val="000000"/>
          <w:szCs w:val="24"/>
          <w:lang w:val="uk-UA"/>
        </w:rPr>
        <w:t>Скан-копія</w:t>
      </w:r>
      <w:proofErr w:type="spellEnd"/>
      <w:r w:rsidRPr="00C11169">
        <w:rPr>
          <w:rFonts w:ascii="Times New Roman" w:hAnsi="Times New Roman"/>
          <w:color w:val="000000"/>
          <w:szCs w:val="24"/>
          <w:lang w:val="uk-UA"/>
        </w:rPr>
        <w:t xml:space="preserve"> виписки з протоколу засновників, або копія наказу про призначення, або довіреність, або доручення або інший документи, що підтверджує повноваження посадової особи або представника учасника процедури закупівлі (якщо така(</w:t>
      </w:r>
      <w:proofErr w:type="spellStart"/>
      <w:r w:rsidRPr="00C11169">
        <w:rPr>
          <w:rFonts w:ascii="Times New Roman" w:hAnsi="Times New Roman"/>
          <w:color w:val="000000"/>
          <w:szCs w:val="24"/>
          <w:lang w:val="uk-UA"/>
        </w:rPr>
        <w:t>ий</w:t>
      </w:r>
      <w:proofErr w:type="spellEnd"/>
      <w:r w:rsidRPr="00C11169">
        <w:rPr>
          <w:rFonts w:ascii="Times New Roman" w:hAnsi="Times New Roman"/>
          <w:color w:val="000000"/>
          <w:szCs w:val="24"/>
          <w:lang w:val="uk-UA"/>
        </w:rPr>
        <w:t xml:space="preserve">) визначена учасником) щодо підпису документів тендерної пропозиції та укладання договору. Надаються </w:t>
      </w:r>
      <w:proofErr w:type="spellStart"/>
      <w:r w:rsidRPr="00C11169">
        <w:rPr>
          <w:rFonts w:ascii="Times New Roman" w:hAnsi="Times New Roman"/>
          <w:color w:val="000000"/>
          <w:szCs w:val="24"/>
          <w:lang w:val="uk-UA"/>
        </w:rPr>
        <w:t>скан-копії</w:t>
      </w:r>
      <w:proofErr w:type="spellEnd"/>
      <w:r w:rsidRPr="00C11169">
        <w:rPr>
          <w:rFonts w:ascii="Times New Roman" w:hAnsi="Times New Roman"/>
          <w:color w:val="000000"/>
          <w:szCs w:val="24"/>
          <w:lang w:val="uk-UA"/>
        </w:rPr>
        <w:t>: довідки про присвоєння ідентифікаційного коду та паспорту (1-3 сторінки) або паспорту у формі ID-картки (всі сторони) особи, що підписала тендерну пропозицію.</w:t>
      </w:r>
    </w:p>
    <w:p w14:paraId="42B3B329" w14:textId="77777777" w:rsidR="005473A3" w:rsidRPr="00C11169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"/>
          <w:szCs w:val="4"/>
          <w:lang w:val="uk-UA"/>
        </w:rPr>
      </w:pPr>
    </w:p>
    <w:p w14:paraId="02ED04B0" w14:textId="77777777" w:rsidR="005473A3" w:rsidRPr="00C11169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C11169">
        <w:rPr>
          <w:rFonts w:ascii="Times New Roman" w:hAnsi="Times New Roman"/>
          <w:color w:val="000000"/>
          <w:szCs w:val="24"/>
          <w:lang w:val="uk-UA"/>
        </w:rPr>
        <w:t xml:space="preserve">2.2. Для фізичних осіб, в тому числі для фізичних осіб-підприємців: </w:t>
      </w:r>
      <w:proofErr w:type="spellStart"/>
      <w:r w:rsidRPr="00C11169">
        <w:rPr>
          <w:rFonts w:ascii="Times New Roman" w:hAnsi="Times New Roman"/>
          <w:color w:val="000000"/>
          <w:szCs w:val="24"/>
          <w:lang w:val="uk-UA"/>
        </w:rPr>
        <w:t>Скан-копії</w:t>
      </w:r>
      <w:proofErr w:type="spellEnd"/>
      <w:r w:rsidRPr="00C11169">
        <w:rPr>
          <w:rFonts w:ascii="Times New Roman" w:hAnsi="Times New Roman"/>
          <w:color w:val="000000"/>
          <w:szCs w:val="24"/>
          <w:lang w:val="uk-UA"/>
        </w:rPr>
        <w:t xml:space="preserve"> довідки про присвоєння ідентифікаційного коду та паспорту (1-3 сторінки) або паспорту у формі ID-картки (всі сторони).</w:t>
      </w:r>
    </w:p>
    <w:p w14:paraId="59D990C7" w14:textId="77777777" w:rsidR="005473A3" w:rsidRPr="00C11169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"/>
          <w:szCs w:val="4"/>
          <w:lang w:val="uk-UA"/>
        </w:rPr>
      </w:pPr>
    </w:p>
    <w:p w14:paraId="0A940F05" w14:textId="77777777" w:rsidR="005473A3" w:rsidRPr="00C11169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C11169">
        <w:rPr>
          <w:rFonts w:ascii="Times New Roman" w:hAnsi="Times New Roman"/>
          <w:color w:val="000000"/>
          <w:szCs w:val="24"/>
          <w:lang w:val="uk-UA"/>
        </w:rPr>
        <w:t xml:space="preserve">2.3.Документи про підтвердження необхідних технічних, кількісних, якісних характеристик предмета закупівлі: </w:t>
      </w:r>
    </w:p>
    <w:p w14:paraId="6D10EC6F" w14:textId="5BCA5D93" w:rsidR="005473A3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C11169">
        <w:rPr>
          <w:rFonts w:ascii="Times New Roman" w:hAnsi="Times New Roman"/>
          <w:color w:val="000000"/>
          <w:szCs w:val="24"/>
          <w:lang w:val="uk-UA"/>
        </w:rPr>
        <w:t xml:space="preserve">- </w:t>
      </w:r>
      <w:r w:rsidR="00AE0E2D">
        <w:rPr>
          <w:rFonts w:ascii="Times New Roman" w:hAnsi="Times New Roman"/>
          <w:color w:val="000000"/>
          <w:szCs w:val="24"/>
          <w:lang w:val="uk-UA"/>
        </w:rPr>
        <w:t xml:space="preserve"> г</w:t>
      </w:r>
      <w:r w:rsidR="00AE0E2D" w:rsidRPr="00AE0E2D">
        <w:rPr>
          <w:rFonts w:ascii="Times New Roman" w:hAnsi="Times New Roman"/>
          <w:color w:val="000000"/>
          <w:szCs w:val="24"/>
          <w:lang w:val="uk-UA"/>
        </w:rPr>
        <w:t xml:space="preserve">арантійний лист про відповідність пропозиції учасника технічним, якісним та кількісним характеристикам, </w:t>
      </w:r>
      <w:r w:rsidR="00895020">
        <w:rPr>
          <w:rFonts w:ascii="Times New Roman" w:hAnsi="Times New Roman"/>
          <w:color w:val="000000"/>
          <w:szCs w:val="24"/>
          <w:lang w:val="uk-UA"/>
        </w:rPr>
        <w:t xml:space="preserve">які зазначені </w:t>
      </w:r>
      <w:r w:rsidR="00AE0E2D" w:rsidRPr="00AE0E2D">
        <w:rPr>
          <w:rFonts w:ascii="Times New Roman" w:hAnsi="Times New Roman"/>
          <w:color w:val="000000"/>
          <w:szCs w:val="24"/>
          <w:lang w:val="uk-UA"/>
        </w:rPr>
        <w:t xml:space="preserve"> у Додатку </w:t>
      </w:r>
      <w:r w:rsidR="00AE0E2D">
        <w:rPr>
          <w:rFonts w:ascii="Times New Roman" w:hAnsi="Times New Roman"/>
          <w:color w:val="000000"/>
          <w:szCs w:val="24"/>
          <w:lang w:val="uk-UA"/>
        </w:rPr>
        <w:t>3</w:t>
      </w:r>
      <w:r w:rsidR="00AE0E2D" w:rsidRPr="00AE0E2D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AE0E2D">
        <w:rPr>
          <w:rFonts w:ascii="Times New Roman" w:hAnsi="Times New Roman"/>
          <w:color w:val="000000"/>
          <w:szCs w:val="24"/>
          <w:lang w:val="uk-UA"/>
        </w:rPr>
        <w:t>до тендерної документації</w:t>
      </w:r>
      <w:r w:rsidR="00AE0E2D" w:rsidRPr="00AE0E2D">
        <w:rPr>
          <w:rFonts w:ascii="Times New Roman" w:hAnsi="Times New Roman"/>
          <w:color w:val="000000"/>
          <w:szCs w:val="24"/>
          <w:lang w:val="uk-UA"/>
        </w:rPr>
        <w:t xml:space="preserve">, із обов’язковим зазначенням всіх Основних вимог до закупівлі та всього переліку Обсягів та видів </w:t>
      </w:r>
      <w:r w:rsidR="000C4F56">
        <w:rPr>
          <w:rFonts w:ascii="Times New Roman" w:hAnsi="Times New Roman"/>
          <w:color w:val="000000"/>
          <w:szCs w:val="24"/>
          <w:lang w:val="uk-UA"/>
        </w:rPr>
        <w:t>послуг/</w:t>
      </w:r>
      <w:r w:rsidR="00AE0E2D" w:rsidRPr="00AE0E2D">
        <w:rPr>
          <w:rFonts w:ascii="Times New Roman" w:hAnsi="Times New Roman"/>
          <w:color w:val="000000"/>
          <w:szCs w:val="24"/>
          <w:lang w:val="uk-UA"/>
        </w:rPr>
        <w:t xml:space="preserve">робіт відповідно до Технічного завдання, викладеного в Додатку 3 </w:t>
      </w:r>
      <w:r w:rsidR="00AE0E2D">
        <w:rPr>
          <w:rFonts w:ascii="Times New Roman" w:hAnsi="Times New Roman"/>
          <w:color w:val="000000"/>
          <w:szCs w:val="24"/>
          <w:lang w:val="uk-UA"/>
        </w:rPr>
        <w:t xml:space="preserve"> до тендерної документації </w:t>
      </w:r>
      <w:r w:rsidR="00AE0E2D" w:rsidRPr="00AE0E2D">
        <w:rPr>
          <w:rFonts w:ascii="Times New Roman" w:hAnsi="Times New Roman"/>
          <w:color w:val="000000"/>
          <w:szCs w:val="24"/>
          <w:lang w:val="uk-UA"/>
        </w:rPr>
        <w:t>без зазначення вартості кожної окремої складової пос</w:t>
      </w:r>
      <w:r w:rsidR="000C4F56">
        <w:rPr>
          <w:rFonts w:ascii="Times New Roman" w:hAnsi="Times New Roman"/>
          <w:color w:val="000000"/>
          <w:szCs w:val="24"/>
          <w:lang w:val="uk-UA"/>
        </w:rPr>
        <w:t>луг</w:t>
      </w:r>
      <w:r w:rsidR="00AE0E2D" w:rsidRPr="00AE0E2D">
        <w:rPr>
          <w:rFonts w:ascii="Times New Roman" w:hAnsi="Times New Roman"/>
          <w:color w:val="000000"/>
          <w:szCs w:val="24"/>
          <w:lang w:val="uk-UA"/>
        </w:rPr>
        <w:t>.</w:t>
      </w:r>
    </w:p>
    <w:p w14:paraId="66777E8C" w14:textId="77777777" w:rsidR="00895020" w:rsidRPr="00C11169" w:rsidRDefault="00895020" w:rsidP="0089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C11169">
        <w:rPr>
          <w:rFonts w:ascii="Times New Roman" w:hAnsi="Times New Roman"/>
          <w:color w:val="000000"/>
          <w:szCs w:val="24"/>
          <w:lang w:val="uk-UA"/>
        </w:rPr>
        <w:t xml:space="preserve">2.4. Інформація в довільній формі за підписом учасника (уповноваженого представника) про повне найменування та місцезнаходження кожного суб’єкта господарювання, якого учасник планує залучати до виконання робіт чи послуг як субпідрядника/співвиконавця в обсязі не менше ніж 20% від вартості договору про закупівлю. </w:t>
      </w:r>
      <w:r w:rsidRPr="002908BA">
        <w:rPr>
          <w:rFonts w:ascii="Times New Roman" w:hAnsi="Times New Roman"/>
          <w:b/>
          <w:color w:val="000000"/>
          <w:szCs w:val="24"/>
          <w:u w:val="single"/>
          <w:lang w:val="uk-UA"/>
        </w:rPr>
        <w:t>У разі якщо учасник не планує залучати субпідрядні організації, учасник надає письмову інформацію про це</w:t>
      </w:r>
      <w:r w:rsidRPr="00C11169">
        <w:rPr>
          <w:rFonts w:ascii="Times New Roman" w:hAnsi="Times New Roman"/>
          <w:color w:val="000000"/>
          <w:szCs w:val="24"/>
          <w:lang w:val="uk-UA"/>
        </w:rPr>
        <w:t>.</w:t>
      </w:r>
    </w:p>
    <w:p w14:paraId="113EB860" w14:textId="77777777" w:rsidR="00895020" w:rsidRPr="00C11169" w:rsidRDefault="00895020" w:rsidP="0089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"/>
          <w:szCs w:val="4"/>
          <w:lang w:val="uk-UA"/>
        </w:rPr>
      </w:pPr>
    </w:p>
    <w:p w14:paraId="2E33E37D" w14:textId="77777777" w:rsidR="00895020" w:rsidRPr="00C11169" w:rsidRDefault="00895020" w:rsidP="0089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C11169">
        <w:rPr>
          <w:rFonts w:ascii="Times New Roman" w:hAnsi="Times New Roman"/>
          <w:color w:val="000000"/>
          <w:szCs w:val="24"/>
          <w:lang w:val="uk-UA"/>
        </w:rPr>
        <w:t>2.5. Інформаційна довідка у довільній формі за під</w:t>
      </w:r>
      <w:bookmarkStart w:id="0" w:name="_GoBack"/>
      <w:bookmarkEnd w:id="0"/>
      <w:r w:rsidRPr="00C11169">
        <w:rPr>
          <w:rFonts w:ascii="Times New Roman" w:hAnsi="Times New Roman"/>
          <w:color w:val="000000"/>
          <w:szCs w:val="24"/>
          <w:lang w:val="uk-UA"/>
        </w:rPr>
        <w:t>писом учасника (уповноваженого представника) про обов’язок учасника дотримуватися вимог чинного законодавства із захисту довкілля при виконанні послуг, що є предметом закупівлі.</w:t>
      </w:r>
    </w:p>
    <w:p w14:paraId="17AAF71F" w14:textId="77777777" w:rsidR="00895020" w:rsidRPr="00C11169" w:rsidRDefault="00895020" w:rsidP="0089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"/>
          <w:szCs w:val="4"/>
          <w:lang w:val="uk-UA"/>
        </w:rPr>
      </w:pPr>
    </w:p>
    <w:p w14:paraId="14D72965" w14:textId="5C760A9F" w:rsidR="00895020" w:rsidRPr="00C11169" w:rsidRDefault="00895020" w:rsidP="0089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C11169">
        <w:rPr>
          <w:rFonts w:ascii="Times New Roman" w:hAnsi="Times New Roman"/>
          <w:color w:val="000000"/>
          <w:szCs w:val="24"/>
          <w:lang w:val="uk-UA"/>
        </w:rPr>
        <w:t xml:space="preserve">2.6. </w:t>
      </w:r>
      <w:r w:rsidR="00565375" w:rsidRPr="00C11169">
        <w:rPr>
          <w:rFonts w:ascii="Times New Roman" w:hAnsi="Times New Roman"/>
          <w:color w:val="000000"/>
          <w:szCs w:val="24"/>
          <w:lang w:val="uk-UA"/>
        </w:rPr>
        <w:t xml:space="preserve">Лист в довільній формі за підписом учасника (уповноваженого представника) про згоду з </w:t>
      </w:r>
      <w:proofErr w:type="spellStart"/>
      <w:r w:rsidR="00565375" w:rsidRPr="00C11169">
        <w:rPr>
          <w:rFonts w:ascii="Times New Roman" w:hAnsi="Times New Roman"/>
          <w:color w:val="000000"/>
          <w:szCs w:val="24"/>
          <w:lang w:val="uk-UA"/>
        </w:rPr>
        <w:t>Проєктом</w:t>
      </w:r>
      <w:proofErr w:type="spellEnd"/>
      <w:r w:rsidR="00565375" w:rsidRPr="00C11169">
        <w:rPr>
          <w:rFonts w:ascii="Times New Roman" w:hAnsi="Times New Roman"/>
          <w:color w:val="000000"/>
          <w:szCs w:val="24"/>
          <w:lang w:val="uk-UA"/>
        </w:rPr>
        <w:t xml:space="preserve"> договору.</w:t>
      </w:r>
    </w:p>
    <w:p w14:paraId="1D5BC5F6" w14:textId="77777777" w:rsidR="00895020" w:rsidRPr="00C11169" w:rsidRDefault="00895020" w:rsidP="0089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"/>
          <w:szCs w:val="4"/>
          <w:lang w:val="uk-UA"/>
        </w:rPr>
      </w:pPr>
    </w:p>
    <w:p w14:paraId="64C61FAB" w14:textId="77777777" w:rsidR="00895020" w:rsidRPr="00C11169" w:rsidRDefault="00895020" w:rsidP="00895020">
      <w:pPr>
        <w:widowControl w:val="0"/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C11169">
        <w:rPr>
          <w:rFonts w:ascii="Times New Roman" w:hAnsi="Times New Roman"/>
          <w:color w:val="000000"/>
          <w:szCs w:val="24"/>
          <w:lang w:val="uk-UA"/>
        </w:rPr>
        <w:t>2.7. Лист-згода в довільній формі за підписом учасника (уповноваженого представника) на обробку, використання, поширення та доступ до персональних даних на посадову особу або представника учасника процедури закупівлі (якщо така(</w:t>
      </w:r>
      <w:proofErr w:type="spellStart"/>
      <w:r w:rsidRPr="00C11169">
        <w:rPr>
          <w:rFonts w:ascii="Times New Roman" w:hAnsi="Times New Roman"/>
          <w:color w:val="000000"/>
          <w:szCs w:val="24"/>
          <w:lang w:val="uk-UA"/>
        </w:rPr>
        <w:t>ий</w:t>
      </w:r>
      <w:proofErr w:type="spellEnd"/>
      <w:r w:rsidRPr="00C11169">
        <w:rPr>
          <w:rFonts w:ascii="Times New Roman" w:hAnsi="Times New Roman"/>
          <w:color w:val="000000"/>
          <w:szCs w:val="24"/>
          <w:lang w:val="uk-UA"/>
        </w:rPr>
        <w:t>) визначена учасником) щодо підпису документів тендерної пропозиції.</w:t>
      </w:r>
    </w:p>
    <w:p w14:paraId="1FB9D0E5" w14:textId="77777777" w:rsidR="00895020" w:rsidRPr="00C11169" w:rsidRDefault="00895020" w:rsidP="00895020">
      <w:pPr>
        <w:widowControl w:val="0"/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"/>
          <w:szCs w:val="4"/>
          <w:lang w:val="uk-UA"/>
        </w:rPr>
      </w:pPr>
    </w:p>
    <w:p w14:paraId="12BF5C2C" w14:textId="2B834301" w:rsidR="00EA19EF" w:rsidRDefault="00895020" w:rsidP="00895020">
      <w:pPr>
        <w:widowControl w:val="0"/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lang w:val="uk-UA" w:eastAsia="zh-CN"/>
        </w:rPr>
      </w:pPr>
      <w:r w:rsidRPr="00C11169">
        <w:rPr>
          <w:rFonts w:ascii="Times New Roman" w:hAnsi="Times New Roman"/>
          <w:color w:val="000000"/>
          <w:szCs w:val="24"/>
          <w:lang w:val="uk-UA"/>
        </w:rPr>
        <w:t xml:space="preserve">2.8. </w:t>
      </w:r>
      <w:proofErr w:type="spellStart"/>
      <w:r w:rsidR="00565375" w:rsidRPr="00EA19EF">
        <w:rPr>
          <w:rFonts w:ascii="Times New Roman" w:eastAsia="Tahoma" w:hAnsi="Times New Roman" w:cs="Times New Roman"/>
          <w:b/>
          <w:lang w:val="uk-UA" w:eastAsia="zh-CN"/>
        </w:rPr>
        <w:t>Скан-копія</w:t>
      </w:r>
      <w:proofErr w:type="spellEnd"/>
      <w:r w:rsidR="00565375" w:rsidRPr="00EA19EF">
        <w:rPr>
          <w:rFonts w:ascii="Times New Roman" w:eastAsia="Tahoma" w:hAnsi="Times New Roman" w:cs="Times New Roman"/>
          <w:b/>
          <w:lang w:val="uk-UA" w:eastAsia="zh-CN"/>
        </w:rPr>
        <w:t xml:space="preserve"> чинної ліцензії</w:t>
      </w:r>
      <w:r w:rsidR="00565375" w:rsidRPr="009E2F4A">
        <w:rPr>
          <w:rFonts w:ascii="Times New Roman" w:eastAsia="Tahoma" w:hAnsi="Times New Roman" w:cs="Times New Roman"/>
          <w:lang w:val="uk-UA" w:eastAsia="zh-CN"/>
        </w:rPr>
        <w:t xml:space="preserve"> (видан</w:t>
      </w:r>
      <w:r w:rsidR="00EA19EF">
        <w:rPr>
          <w:rFonts w:ascii="Times New Roman" w:eastAsia="Tahoma" w:hAnsi="Times New Roman" w:cs="Times New Roman"/>
          <w:lang w:val="uk-UA" w:eastAsia="zh-CN"/>
        </w:rPr>
        <w:t>ої</w:t>
      </w:r>
      <w:r w:rsidR="00565375" w:rsidRPr="009E2F4A">
        <w:rPr>
          <w:rFonts w:ascii="Times New Roman" w:eastAsia="Tahoma" w:hAnsi="Times New Roman" w:cs="Times New Roman"/>
          <w:lang w:val="uk-UA" w:eastAsia="zh-CN"/>
        </w:rPr>
        <w:t xml:space="preserve"> учаснику </w:t>
      </w:r>
      <w:r w:rsidR="00565375">
        <w:rPr>
          <w:rFonts w:ascii="Times New Roman" w:eastAsia="Tahoma" w:hAnsi="Times New Roman" w:cs="Times New Roman"/>
          <w:lang w:val="uk-UA" w:eastAsia="zh-CN"/>
        </w:rPr>
        <w:t>процедури закупівлі</w:t>
      </w:r>
      <w:r w:rsidR="00565375" w:rsidRPr="009E2F4A">
        <w:rPr>
          <w:rFonts w:ascii="Times New Roman" w:eastAsia="Tahoma" w:hAnsi="Times New Roman" w:cs="Times New Roman"/>
          <w:lang w:val="uk-UA" w:eastAsia="zh-CN"/>
        </w:rPr>
        <w:t>)  на провадження господарської діяльності з надання послуг і виконання робіт протипожежного призначення, а саме «</w:t>
      </w:r>
      <w:r w:rsidR="00565375" w:rsidRPr="0070248A">
        <w:rPr>
          <w:rFonts w:ascii="Times New Roman" w:eastAsia="Tahoma" w:hAnsi="Times New Roman" w:cs="Times New Roman"/>
          <w:b/>
          <w:lang w:val="uk-UA" w:eastAsia="zh-CN"/>
        </w:rPr>
        <w:t>монтаж, підтримання експлуатаційної придатності (технічного обслуговування) систем пожежної сигналізації, оповіщення про пожежу та евакуацію людей, устаткування для передачі сповіщень</w:t>
      </w:r>
      <w:r w:rsidR="0070248A">
        <w:rPr>
          <w:rFonts w:ascii="Times New Roman" w:eastAsia="Tahoma" w:hAnsi="Times New Roman" w:cs="Times New Roman"/>
          <w:b/>
          <w:lang w:val="uk-UA" w:eastAsia="zh-CN"/>
        </w:rPr>
        <w:t>»</w:t>
      </w:r>
      <w:r w:rsidR="00AF53EE">
        <w:rPr>
          <w:rFonts w:ascii="Times New Roman" w:eastAsia="Tahoma" w:hAnsi="Times New Roman" w:cs="Times New Roman"/>
          <w:b/>
          <w:lang w:val="uk-UA" w:eastAsia="zh-CN"/>
        </w:rPr>
        <w:t>,</w:t>
      </w:r>
      <w:r w:rsidR="0070248A">
        <w:rPr>
          <w:rFonts w:ascii="Times New Roman" w:eastAsia="Tahoma" w:hAnsi="Times New Roman" w:cs="Times New Roman"/>
          <w:b/>
          <w:lang w:val="uk-UA" w:eastAsia="zh-CN"/>
        </w:rPr>
        <w:t xml:space="preserve"> </w:t>
      </w:r>
      <w:r w:rsidR="0070248A" w:rsidRPr="004230C5">
        <w:rPr>
          <w:rFonts w:ascii="Times New Roman" w:eastAsia="Tahoma" w:hAnsi="Times New Roman" w:cs="Times New Roman"/>
          <w:lang w:val="uk-UA" w:eastAsia="zh-CN"/>
        </w:rPr>
        <w:t>(</w:t>
      </w:r>
      <w:r w:rsidR="004230C5" w:rsidRPr="004230C5">
        <w:rPr>
          <w:rFonts w:ascii="Times New Roman" w:eastAsia="Tahoma" w:hAnsi="Times New Roman" w:cs="Times New Roman"/>
          <w:lang w:val="uk-UA" w:eastAsia="zh-CN"/>
        </w:rPr>
        <w:t>відповідно до</w:t>
      </w:r>
      <w:r w:rsidR="004230C5">
        <w:rPr>
          <w:rFonts w:ascii="Times New Roman" w:eastAsia="Tahoma" w:hAnsi="Times New Roman" w:cs="Times New Roman"/>
          <w:b/>
          <w:lang w:val="uk-UA" w:eastAsia="zh-CN"/>
        </w:rPr>
        <w:t xml:space="preserve"> </w:t>
      </w:r>
      <w:r w:rsidR="00565375" w:rsidRPr="009E2F4A">
        <w:rPr>
          <w:rFonts w:ascii="Times New Roman" w:eastAsia="Tahoma" w:hAnsi="Times New Roman" w:cs="Times New Roman"/>
          <w:lang w:val="uk-UA" w:eastAsia="zh-CN"/>
        </w:rPr>
        <w:t>п.2 постанови КМУ України від  23.11.2016 №852 «Ліцензійні умови провадження господарської діяльності з надання послуг і виконання робіт протипожежного призначення»</w:t>
      </w:r>
      <w:r w:rsidR="001A273F">
        <w:rPr>
          <w:rFonts w:ascii="Times New Roman" w:eastAsia="Tahoma" w:hAnsi="Times New Roman" w:cs="Times New Roman"/>
          <w:lang w:val="uk-UA" w:eastAsia="zh-CN"/>
        </w:rPr>
        <w:t>)</w:t>
      </w:r>
      <w:r w:rsidR="00565375" w:rsidRPr="009E2F4A">
        <w:rPr>
          <w:rFonts w:ascii="Times New Roman" w:eastAsia="Tahoma" w:hAnsi="Times New Roman" w:cs="Times New Roman"/>
          <w:lang w:val="uk-UA" w:eastAsia="zh-CN"/>
        </w:rPr>
        <w:t>, якщо ліцензія була видана в паперові</w:t>
      </w:r>
      <w:r w:rsidR="00565375">
        <w:rPr>
          <w:rFonts w:ascii="Times New Roman" w:eastAsia="Tahoma" w:hAnsi="Times New Roman" w:cs="Times New Roman"/>
          <w:lang w:val="uk-UA" w:eastAsia="zh-CN"/>
        </w:rPr>
        <w:t xml:space="preserve">й формі </w:t>
      </w:r>
    </w:p>
    <w:p w14:paraId="368F98A4" w14:textId="694F01E2" w:rsidR="00895020" w:rsidRDefault="00565375" w:rsidP="00895020">
      <w:pPr>
        <w:widowControl w:val="0"/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lang w:val="uk-UA" w:eastAsia="zh-CN"/>
        </w:rPr>
      </w:pPr>
      <w:r w:rsidRPr="009E2F4A">
        <w:rPr>
          <w:rFonts w:ascii="Times New Roman" w:eastAsia="Tahoma" w:hAnsi="Times New Roman" w:cs="Times New Roman"/>
          <w:lang w:val="uk-UA" w:eastAsia="zh-CN"/>
        </w:rPr>
        <w:t xml:space="preserve">або </w:t>
      </w:r>
      <w:r w:rsidRPr="008210CB">
        <w:rPr>
          <w:rFonts w:ascii="Times New Roman" w:eastAsia="Tahoma" w:hAnsi="Times New Roman" w:cs="Times New Roman"/>
          <w:b/>
          <w:lang w:val="uk-UA" w:eastAsia="zh-CN"/>
        </w:rPr>
        <w:t>інформація</w:t>
      </w:r>
      <w:r w:rsidR="001A273F" w:rsidRPr="008210CB">
        <w:rPr>
          <w:rFonts w:ascii="Times New Roman" w:eastAsia="Tahoma" w:hAnsi="Times New Roman" w:cs="Times New Roman"/>
          <w:b/>
          <w:lang w:val="uk-UA" w:eastAsia="zh-CN"/>
        </w:rPr>
        <w:t xml:space="preserve">  в довільній формі</w:t>
      </w:r>
      <w:r w:rsidRPr="008210CB">
        <w:rPr>
          <w:rFonts w:ascii="Times New Roman" w:eastAsia="Tahoma" w:hAnsi="Times New Roman" w:cs="Times New Roman"/>
          <w:b/>
          <w:lang w:val="uk-UA" w:eastAsia="zh-CN"/>
        </w:rPr>
        <w:t xml:space="preserve"> про наявн</w:t>
      </w:r>
      <w:r w:rsidR="008210CB">
        <w:rPr>
          <w:rFonts w:ascii="Times New Roman" w:eastAsia="Tahoma" w:hAnsi="Times New Roman" w:cs="Times New Roman"/>
          <w:b/>
          <w:lang w:val="uk-UA" w:eastAsia="zh-CN"/>
        </w:rPr>
        <w:t>ість</w:t>
      </w:r>
      <w:r w:rsidRPr="008210CB">
        <w:rPr>
          <w:rFonts w:ascii="Times New Roman" w:eastAsia="Tahoma" w:hAnsi="Times New Roman" w:cs="Times New Roman"/>
          <w:b/>
          <w:lang w:val="uk-UA" w:eastAsia="zh-CN"/>
        </w:rPr>
        <w:t xml:space="preserve"> чинн</w:t>
      </w:r>
      <w:r w:rsidR="008210CB">
        <w:rPr>
          <w:rFonts w:ascii="Times New Roman" w:eastAsia="Tahoma" w:hAnsi="Times New Roman" w:cs="Times New Roman"/>
          <w:b/>
          <w:lang w:val="uk-UA" w:eastAsia="zh-CN"/>
        </w:rPr>
        <w:t>ої</w:t>
      </w:r>
      <w:r w:rsidRPr="008210CB">
        <w:rPr>
          <w:rFonts w:ascii="Times New Roman" w:eastAsia="Tahoma" w:hAnsi="Times New Roman" w:cs="Times New Roman"/>
          <w:b/>
          <w:lang w:val="uk-UA" w:eastAsia="zh-CN"/>
        </w:rPr>
        <w:t xml:space="preserve"> ліцензі</w:t>
      </w:r>
      <w:r w:rsidR="008210CB">
        <w:rPr>
          <w:rFonts w:ascii="Times New Roman" w:eastAsia="Tahoma" w:hAnsi="Times New Roman" w:cs="Times New Roman"/>
          <w:b/>
          <w:lang w:val="uk-UA" w:eastAsia="zh-CN"/>
        </w:rPr>
        <w:t>ї</w:t>
      </w:r>
      <w:r w:rsidR="003F05AD" w:rsidRPr="008210CB">
        <w:rPr>
          <w:rFonts w:ascii="Times New Roman" w:eastAsia="Tahoma" w:hAnsi="Times New Roman" w:cs="Times New Roman"/>
          <w:b/>
          <w:lang w:val="uk-UA" w:eastAsia="zh-CN"/>
        </w:rPr>
        <w:t xml:space="preserve"> із зазначенням номеру  та дати видачі  ліцензії</w:t>
      </w:r>
      <w:r w:rsidR="003F05AD">
        <w:rPr>
          <w:rFonts w:ascii="Times New Roman" w:eastAsia="Tahoma" w:hAnsi="Times New Roman" w:cs="Times New Roman"/>
          <w:lang w:val="uk-UA" w:eastAsia="zh-CN"/>
        </w:rPr>
        <w:t xml:space="preserve"> </w:t>
      </w:r>
      <w:r w:rsidRPr="009E2F4A">
        <w:rPr>
          <w:rFonts w:ascii="Times New Roman" w:eastAsia="Tahoma" w:hAnsi="Times New Roman" w:cs="Times New Roman"/>
          <w:lang w:val="uk-UA" w:eastAsia="zh-CN"/>
        </w:rPr>
        <w:t xml:space="preserve"> на провадження господарської діяльності з надання послуг і виконання робіт протипожежного призначення, а саме «</w:t>
      </w:r>
      <w:r w:rsidRPr="001A273F">
        <w:rPr>
          <w:rFonts w:ascii="Times New Roman" w:eastAsia="Tahoma" w:hAnsi="Times New Roman" w:cs="Times New Roman"/>
          <w:b/>
          <w:lang w:val="uk-UA" w:eastAsia="zh-CN"/>
        </w:rPr>
        <w:t>монтаж, підтримання експлуатаційної придатності (технічного обслуговування) систем пожежної сигналізації, оповіщення про пожежу та евакуацію людей, устаткування для передачі сповіщень</w:t>
      </w:r>
      <w:r w:rsidR="00AF53EE">
        <w:rPr>
          <w:rFonts w:ascii="Times New Roman" w:eastAsia="Tahoma" w:hAnsi="Times New Roman" w:cs="Times New Roman"/>
          <w:b/>
          <w:lang w:val="uk-UA" w:eastAsia="zh-CN"/>
        </w:rPr>
        <w:t>»,</w:t>
      </w:r>
      <w:r w:rsidRPr="009E2F4A">
        <w:rPr>
          <w:rFonts w:ascii="Times New Roman" w:eastAsia="Tahoma" w:hAnsi="Times New Roman" w:cs="Times New Roman"/>
          <w:lang w:val="uk-UA" w:eastAsia="zh-CN"/>
        </w:rPr>
        <w:t xml:space="preserve"> </w:t>
      </w:r>
      <w:r w:rsidR="001A273F">
        <w:rPr>
          <w:rFonts w:ascii="Times New Roman" w:eastAsia="Tahoma" w:hAnsi="Times New Roman" w:cs="Times New Roman"/>
          <w:lang w:val="uk-UA" w:eastAsia="zh-CN"/>
        </w:rPr>
        <w:t>(</w:t>
      </w:r>
      <w:r w:rsidR="004A0769" w:rsidRPr="004230C5">
        <w:rPr>
          <w:rFonts w:ascii="Times New Roman" w:eastAsia="Tahoma" w:hAnsi="Times New Roman" w:cs="Times New Roman"/>
          <w:lang w:val="uk-UA" w:eastAsia="zh-CN"/>
        </w:rPr>
        <w:t>відповідно до</w:t>
      </w:r>
      <w:r w:rsidR="004A0769">
        <w:rPr>
          <w:rFonts w:ascii="Times New Roman" w:eastAsia="Tahoma" w:hAnsi="Times New Roman" w:cs="Times New Roman"/>
          <w:b/>
          <w:lang w:val="uk-UA" w:eastAsia="zh-CN"/>
        </w:rPr>
        <w:t xml:space="preserve"> </w:t>
      </w:r>
      <w:r w:rsidRPr="009E2F4A">
        <w:rPr>
          <w:rFonts w:ascii="Times New Roman" w:eastAsia="Tahoma" w:hAnsi="Times New Roman" w:cs="Times New Roman"/>
          <w:lang w:val="uk-UA" w:eastAsia="zh-CN"/>
        </w:rPr>
        <w:t>п.2 постанови КМУ України від  23.11.2016 №852 «Ліцензійні умови провадження господарської діяльності з надання послуг і виконання робіт протипожежного призначення»</w:t>
      </w:r>
      <w:r w:rsidR="001A273F">
        <w:rPr>
          <w:rFonts w:ascii="Times New Roman" w:eastAsia="Tahoma" w:hAnsi="Times New Roman" w:cs="Times New Roman"/>
          <w:lang w:val="uk-UA" w:eastAsia="zh-CN"/>
        </w:rPr>
        <w:t>)</w:t>
      </w:r>
      <w:r w:rsidRPr="009E2F4A">
        <w:rPr>
          <w:rFonts w:ascii="Times New Roman" w:eastAsia="Tahoma" w:hAnsi="Times New Roman" w:cs="Times New Roman"/>
          <w:lang w:val="uk-UA" w:eastAsia="zh-CN"/>
        </w:rPr>
        <w:t>, якщо ліцензія була видана в електронній формі.</w:t>
      </w:r>
    </w:p>
    <w:p w14:paraId="17C15196" w14:textId="383C8180" w:rsidR="00565375" w:rsidRPr="00C11169" w:rsidRDefault="00565375" w:rsidP="00895020">
      <w:pPr>
        <w:widowControl w:val="0"/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eastAsia="Tahoma" w:hAnsi="Times New Roman" w:cs="Times New Roman"/>
          <w:lang w:val="uk-UA" w:eastAsia="zh-CN"/>
        </w:rPr>
        <w:t>2.9. Заповнен</w:t>
      </w:r>
      <w:r w:rsidR="00C80F39">
        <w:rPr>
          <w:rFonts w:ascii="Times New Roman" w:eastAsia="Tahoma" w:hAnsi="Times New Roman" w:cs="Times New Roman"/>
          <w:lang w:val="uk-UA" w:eastAsia="zh-CN"/>
        </w:rPr>
        <w:t>а</w:t>
      </w:r>
      <w:r>
        <w:rPr>
          <w:rFonts w:ascii="Times New Roman" w:eastAsia="Tahoma" w:hAnsi="Times New Roman" w:cs="Times New Roman"/>
          <w:lang w:val="uk-UA" w:eastAsia="zh-CN"/>
        </w:rPr>
        <w:t xml:space="preserve"> форм</w:t>
      </w:r>
      <w:r w:rsidR="00C80F39">
        <w:rPr>
          <w:rFonts w:ascii="Times New Roman" w:eastAsia="Tahoma" w:hAnsi="Times New Roman" w:cs="Times New Roman"/>
          <w:lang w:val="uk-UA" w:eastAsia="zh-CN"/>
        </w:rPr>
        <w:t>а</w:t>
      </w:r>
      <w:r>
        <w:rPr>
          <w:rFonts w:ascii="Times New Roman" w:eastAsia="Tahoma" w:hAnsi="Times New Roman" w:cs="Times New Roman"/>
          <w:lang w:val="uk-UA" w:eastAsia="zh-CN"/>
        </w:rPr>
        <w:t xml:space="preserve"> тендерної пропозиції, згідно Додатку 5 до тендерної документації. </w:t>
      </w:r>
    </w:p>
    <w:p w14:paraId="4AB33033" w14:textId="77777777" w:rsidR="00895020" w:rsidRDefault="00895020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</w:p>
    <w:p w14:paraId="170833F7" w14:textId="77777777" w:rsidR="004A0769" w:rsidRPr="009E2F4A" w:rsidRDefault="004A0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4A0769" w:rsidRPr="009E2F4A" w:rsidSect="005F7C8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2EA"/>
    <w:multiLevelType w:val="hybridMultilevel"/>
    <w:tmpl w:val="509863A2"/>
    <w:lvl w:ilvl="0" w:tplc="459C0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4582"/>
    <w:multiLevelType w:val="multilevel"/>
    <w:tmpl w:val="9094E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43A4DD4"/>
    <w:multiLevelType w:val="hybridMultilevel"/>
    <w:tmpl w:val="4BEAA5F4"/>
    <w:lvl w:ilvl="0" w:tplc="A628D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953"/>
    <w:multiLevelType w:val="multilevel"/>
    <w:tmpl w:val="07F46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5926443"/>
    <w:multiLevelType w:val="multilevel"/>
    <w:tmpl w:val="31E44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62C5607"/>
    <w:multiLevelType w:val="multilevel"/>
    <w:tmpl w:val="25E049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CA65334"/>
    <w:multiLevelType w:val="multilevel"/>
    <w:tmpl w:val="4F861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6AB14F9"/>
    <w:multiLevelType w:val="multilevel"/>
    <w:tmpl w:val="92E26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AD"/>
    <w:rsid w:val="00010CB1"/>
    <w:rsid w:val="000A0FD4"/>
    <w:rsid w:val="000C4F56"/>
    <w:rsid w:val="000E1FFF"/>
    <w:rsid w:val="000E252C"/>
    <w:rsid w:val="00115FBF"/>
    <w:rsid w:val="00187547"/>
    <w:rsid w:val="001A273F"/>
    <w:rsid w:val="001F7E57"/>
    <w:rsid w:val="0021453F"/>
    <w:rsid w:val="002908BA"/>
    <w:rsid w:val="00301C1C"/>
    <w:rsid w:val="003317E1"/>
    <w:rsid w:val="003373C3"/>
    <w:rsid w:val="003431F9"/>
    <w:rsid w:val="00385C9C"/>
    <w:rsid w:val="00397105"/>
    <w:rsid w:val="003F05AD"/>
    <w:rsid w:val="004230C5"/>
    <w:rsid w:val="00491F59"/>
    <w:rsid w:val="004A0769"/>
    <w:rsid w:val="0051151E"/>
    <w:rsid w:val="005473A3"/>
    <w:rsid w:val="00565375"/>
    <w:rsid w:val="00577620"/>
    <w:rsid w:val="0058564B"/>
    <w:rsid w:val="005A3874"/>
    <w:rsid w:val="005A7006"/>
    <w:rsid w:val="005B23A1"/>
    <w:rsid w:val="005C2853"/>
    <w:rsid w:val="005F7C88"/>
    <w:rsid w:val="00621C7C"/>
    <w:rsid w:val="00650AB0"/>
    <w:rsid w:val="00667566"/>
    <w:rsid w:val="006B615E"/>
    <w:rsid w:val="006C4D8F"/>
    <w:rsid w:val="006E0E2E"/>
    <w:rsid w:val="006E50A5"/>
    <w:rsid w:val="0070248A"/>
    <w:rsid w:val="00797B69"/>
    <w:rsid w:val="007A6CEC"/>
    <w:rsid w:val="007D0DFE"/>
    <w:rsid w:val="007F4337"/>
    <w:rsid w:val="008210CB"/>
    <w:rsid w:val="008323A9"/>
    <w:rsid w:val="008359E7"/>
    <w:rsid w:val="00895020"/>
    <w:rsid w:val="008D7D1D"/>
    <w:rsid w:val="008F2323"/>
    <w:rsid w:val="00913F4D"/>
    <w:rsid w:val="0093719E"/>
    <w:rsid w:val="009752FD"/>
    <w:rsid w:val="009A76DB"/>
    <w:rsid w:val="009E2F4A"/>
    <w:rsid w:val="00A40E13"/>
    <w:rsid w:val="00A6084F"/>
    <w:rsid w:val="00AC3E14"/>
    <w:rsid w:val="00AE0E2D"/>
    <w:rsid w:val="00AE104B"/>
    <w:rsid w:val="00AF4C54"/>
    <w:rsid w:val="00AF4E87"/>
    <w:rsid w:val="00AF53EE"/>
    <w:rsid w:val="00B272E2"/>
    <w:rsid w:val="00B73C74"/>
    <w:rsid w:val="00B831AD"/>
    <w:rsid w:val="00B851E1"/>
    <w:rsid w:val="00C4222B"/>
    <w:rsid w:val="00C450E6"/>
    <w:rsid w:val="00C66A74"/>
    <w:rsid w:val="00C80F39"/>
    <w:rsid w:val="00CD4921"/>
    <w:rsid w:val="00CF1F75"/>
    <w:rsid w:val="00D13D0C"/>
    <w:rsid w:val="00D152B0"/>
    <w:rsid w:val="00D32484"/>
    <w:rsid w:val="00D910A1"/>
    <w:rsid w:val="00E150CB"/>
    <w:rsid w:val="00E40A00"/>
    <w:rsid w:val="00E44DEE"/>
    <w:rsid w:val="00E719BB"/>
    <w:rsid w:val="00EA19EF"/>
    <w:rsid w:val="00EB47D4"/>
    <w:rsid w:val="00F04316"/>
    <w:rsid w:val="00F238BD"/>
    <w:rsid w:val="00F60F59"/>
    <w:rsid w:val="00F81D33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8"/>
  </w:style>
  <w:style w:type="paragraph" w:styleId="1">
    <w:name w:val="heading 1"/>
    <w:basedOn w:val="a"/>
    <w:next w:val="a"/>
    <w:rsid w:val="005F7C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7C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7C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7C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7C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7C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7C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7C8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7C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5F7C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Обычный1"/>
    <w:qFormat/>
    <w:rsid w:val="006B615E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8"/>
  </w:style>
  <w:style w:type="paragraph" w:styleId="1">
    <w:name w:val="heading 1"/>
    <w:basedOn w:val="a"/>
    <w:next w:val="a"/>
    <w:rsid w:val="005F7C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7C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7C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7C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7C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7C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7C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7C8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7C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5F7C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Обычный1"/>
    <w:qFormat/>
    <w:rsid w:val="006B615E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AMUW2mVd9iNAqUBWcugUAQU5DuJcWXCN2qj7G/L3XT0zp+xziZi6uAQvTDIu5jBFAcXeGXsO10WpXO1ChTGpjli2a/7RkA59Q0QiSD0g7OAQ5MvHpRuE/VmV+SyCTx+KfWQXXQJ3ZKlo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29</cp:revision>
  <dcterms:created xsi:type="dcterms:W3CDTF">2023-05-24T14:16:00Z</dcterms:created>
  <dcterms:modified xsi:type="dcterms:W3CDTF">2023-05-30T12:51:00Z</dcterms:modified>
</cp:coreProperties>
</file>