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C1" w:rsidRDefault="007B6CC1" w:rsidP="005375D9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603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Додаток 2</w:t>
      </w:r>
    </w:p>
    <w:p w:rsidR="007B6CC1" w:rsidRPr="00CC69E3" w:rsidRDefault="007B6CC1" w:rsidP="005375D9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CC69E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до Правил благоустрою населених</w:t>
      </w:r>
    </w:p>
    <w:p w:rsidR="007B6CC1" w:rsidRPr="00CC69E3" w:rsidRDefault="007B6CC1" w:rsidP="005375D9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CC69E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пунктів Чернівецької міської</w:t>
      </w:r>
    </w:p>
    <w:p w:rsidR="007B6CC1" w:rsidRPr="00CC69E3" w:rsidRDefault="007B6CC1" w:rsidP="005375D9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CC69E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територіальної громади</w:t>
      </w:r>
    </w:p>
    <w:p w:rsidR="007B6CC1" w:rsidRPr="00CC69E3" w:rsidRDefault="007B6CC1" w:rsidP="005375D9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CC69E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затверджених рішенням Чернівецької міської ради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, </w:t>
      </w:r>
      <w:r w:rsidRPr="00CC69E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CC69E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скликання</w:t>
      </w:r>
    </w:p>
    <w:p w:rsidR="007B6CC1" w:rsidRPr="00D60395" w:rsidRDefault="007B6CC1" w:rsidP="005375D9">
      <w:pPr>
        <w:widowControl w:val="0"/>
        <w:autoSpaceDE w:val="0"/>
        <w:autoSpaceDN w:val="0"/>
        <w:adjustRightInd w:val="0"/>
        <w:spacing w:after="120" w:line="240" w:lineRule="auto"/>
        <w:ind w:left="5103" w:hanging="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29.06.2023 № </w:t>
      </w:r>
      <w:r w:rsidR="00854A7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1282</w:t>
      </w:r>
      <w:bookmarkStart w:id="0" w:name="_GoBack"/>
      <w:bookmarkEnd w:id="0"/>
    </w:p>
    <w:p w:rsidR="007B6CC1" w:rsidRDefault="007B6CC1" w:rsidP="00DD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B6CC1" w:rsidRPr="00D60395" w:rsidRDefault="007B6CC1" w:rsidP="00DD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603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ПЕРЕЛІК</w:t>
      </w:r>
    </w:p>
    <w:p w:rsidR="007B6CC1" w:rsidRPr="00D60395" w:rsidRDefault="007B6CC1" w:rsidP="00DD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60395">
        <w:rPr>
          <w:rFonts w:ascii="Times New Roman" w:hAnsi="Times New Roman" w:cs="Times New Roman"/>
          <w:sz w:val="28"/>
          <w:szCs w:val="28"/>
          <w:lang w:val="uk-UA" w:eastAsia="ru-RU"/>
        </w:rPr>
        <w:t>дій та бездіяльності, які вважаються порушенням Правил благоустрою, за які настає відповідальність згідно зі статтею 152 Кодексу України</w:t>
      </w:r>
    </w:p>
    <w:p w:rsidR="007B6CC1" w:rsidRPr="00D60395" w:rsidRDefault="007B6CC1" w:rsidP="00DD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94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8647"/>
      </w:tblGrid>
      <w:tr w:rsidR="007B6CC1" w:rsidRPr="00D60395">
        <w:tc>
          <w:tcPr>
            <w:tcW w:w="846" w:type="dxa"/>
            <w:tcBorders>
              <w:bottom w:val="nil"/>
            </w:tcBorders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8647" w:type="dxa"/>
            <w:tcBorders>
              <w:bottom w:val="nil"/>
            </w:tcBorders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Найменування порушень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1. 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Порушення в проведенні земляних робіт (порушення об’єктів благо устрою, пов’язане з проведенням земляних робіт)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1.1.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Самовільне (без дозволу (ордера) на порушення об’єктів благоустрою) виконання земляних або підготовчих робіт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1.2.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 w:eastAsia="uk-UA"/>
              </w:rPr>
            </w:pPr>
            <w:r w:rsidRPr="00D60395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  <w:lang w:val="uk-UA" w:eastAsia="uk-UA"/>
              </w:rPr>
              <w:t xml:space="preserve">Виконання земляних або підготовчих робіт з порушенням строків або по закінченню строків, вказаних у дозволі </w:t>
            </w: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(ордері) на порушення об’єктів благоустрою</w:t>
            </w:r>
            <w:r w:rsidRPr="00D60395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  <w:lang w:val="uk-UA" w:eastAsia="uk-UA"/>
              </w:rPr>
              <w:t xml:space="preserve"> (без продовження дозволу або оформлення нового дозволу)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1.3.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 w:eastAsia="uk-UA"/>
              </w:rPr>
            </w:pPr>
            <w:r w:rsidRPr="00D60395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  <w:lang w:val="uk-UA" w:eastAsia="uk-UA"/>
              </w:rPr>
              <w:t xml:space="preserve">Виконання земляних або підготовчих робіт з порушенням правил та порядку проведення земляних робіт, передбачених Правилами благоустрою 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1.4.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 w:eastAsia="uk-UA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Невиконання або несвоєчасне виконання робіт з відновлення покриття та відновлення благоустрою після завершення земляних робіт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1.5.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Неякісне відновлення покриття та не відновлення благоустрою після завершення земляних робіт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Пошкодження технічного стану інженерно-технічних комунікацій</w:t>
            </w:r>
          </w:p>
        </w:tc>
      </w:tr>
      <w:tr w:rsidR="007B6CC1" w:rsidRPr="00854A7A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Несвоєчасне вивезення матеріалів, будівельних відходів та сміття від розбирання будівель та споруд</w:t>
            </w:r>
          </w:p>
        </w:tc>
      </w:tr>
      <w:tr w:rsidR="007B6CC1" w:rsidRPr="00854A7A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Самовільне розміщення або розміщення в не відведених для цього місцях побутових вагончиків, контейнерів, ємностей, інвентарю, пристроїв, механізмів, транспортних засобів та їх елементів, будівельних матеріалів і конструкцій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Залишення без догляду об’єктів незавершеного будівництва, реконструкції, ремонту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Проведення ремонтних робіт на фасадах будинків без застосування захисної сітки</w:t>
            </w:r>
          </w:p>
        </w:tc>
      </w:tr>
      <w:tr w:rsidR="007B6CC1" w:rsidRPr="00854A7A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7.</w:t>
            </w:r>
          </w:p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Самовільне перекриття проїжджої частини вулиць, провулків, площ, проїздів, дворових та прибудинкових територій без погодження з Управлінням Патрульної Поліції в Чернівецькій області</w:t>
            </w:r>
          </w:p>
        </w:tc>
      </w:tr>
    </w:tbl>
    <w:p w:rsidR="007B6CC1" w:rsidRDefault="007B6CC1" w:rsidP="005375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6CC1" w:rsidRPr="00CC69E3" w:rsidRDefault="007B6CC1" w:rsidP="005375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69E3"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</w:p>
    <w:p w:rsidR="007B6CC1" w:rsidRPr="00275FBE" w:rsidRDefault="007B6CC1" w:rsidP="005375D9">
      <w:pPr>
        <w:ind w:left="6372"/>
        <w:rPr>
          <w:rFonts w:ascii="Times New Roman" w:hAnsi="Times New Roman" w:cs="Times New Roman"/>
        </w:rPr>
      </w:pPr>
      <w:r w:rsidRPr="00275FBE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додатка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tbl>
      <w:tblPr>
        <w:tblW w:w="94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8647"/>
      </w:tblGrid>
      <w:tr w:rsidR="007B6CC1" w:rsidRPr="00D60395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Самовільне встановлення блокувальних пристроїв, </w:t>
            </w:r>
            <w:proofErr w:type="spellStart"/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пристроїв</w:t>
            </w:r>
            <w:proofErr w:type="spellEnd"/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примусового обмеження швидкості, шлагбаумів, ланцюгів, стовпчиків тощо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Порушення утримання об’єктів інфраструктури громади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9.1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Будівель внаслідок фізичних факторів впливу на їх конструкції</w:t>
            </w:r>
          </w:p>
        </w:tc>
      </w:tr>
      <w:tr w:rsidR="007B6CC1" w:rsidRPr="00854A7A">
        <w:tc>
          <w:tcPr>
            <w:tcW w:w="846" w:type="dxa"/>
          </w:tcPr>
          <w:p w:rsidR="007B6CC1" w:rsidRPr="00D60395" w:rsidRDefault="007B6CC1" w:rsidP="0053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9.2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Несучих конструкцій будівель та споруд (наявність деформації оздоблення, а саме: пошкодження, замокання, відшарування тиньку, облицювання фактурного та фарбувального шарів; пошкодження та руйнування архітектурних елементів і деталей, зміна зовнішнього вигляду фасадів, роботи із зовнішньої теплової ізоляції та зовнішньої клаптикової (точкової) теплоізоляції фасадів будинків в межах історичних ареалів </w:t>
            </w:r>
            <w:proofErr w:type="spellStart"/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м.Чернівці</w:t>
            </w:r>
            <w:proofErr w:type="spellEnd"/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фарбування фасаду, цоколю та архітектурних деталей, виконаних з натурального каменю, облицьованих лицьовою цеглою або керамічною плиткою, локальне (часткове, фрагментарне фарбування фасадів, за винятком певного (по ширині фасаду) фарбування цоколю або поверху, відокремленого міжповерховими карнизами, у колір визначений паспортом опорядження фасаду або, у разі його відсутності, зберігається існуюче кольорове вирішення).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53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9.3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Окремих конструктивних елементів будинків, споруд та інженерних мереж (даху, водостічних труб, парапетів, дверей, вікон, вітрин, цоколів, східців, поручнів, балконів, лоджій, водоприймальних пристроїв, лотків, колодязів). Відсутність аншлагів з назвами вулиць та нумерацією на будинках або їх незадовільний стан.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53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9.4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Залишення без нагляду будівель і споруд, які не експлуатуються</w:t>
            </w:r>
          </w:p>
        </w:tc>
      </w:tr>
      <w:tr w:rsidR="007B6CC1" w:rsidRPr="00854A7A">
        <w:tc>
          <w:tcPr>
            <w:tcW w:w="846" w:type="dxa"/>
          </w:tcPr>
          <w:p w:rsidR="007B6CC1" w:rsidRPr="00D60395" w:rsidRDefault="007B6CC1" w:rsidP="0053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9.5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Платформ, естакад, мостів, шляхопроводів, транспортних розв’язок, залізничних переїздів, підземних переходів, підпірних стін, сходів та інших інженерних споруд</w:t>
            </w:r>
          </w:p>
        </w:tc>
      </w:tr>
      <w:tr w:rsidR="007B6CC1" w:rsidRPr="00854A7A">
        <w:tc>
          <w:tcPr>
            <w:tcW w:w="846" w:type="dxa"/>
          </w:tcPr>
          <w:p w:rsidR="007B6CC1" w:rsidRPr="00D60395" w:rsidRDefault="007B6CC1" w:rsidP="0053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9.6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Рекламоносіїв</w:t>
            </w:r>
            <w:proofErr w:type="spellEnd"/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засобів інформації і художньо-декоративного оформлення. Елементів зовнішнього і габаритного освітлення, </w:t>
            </w:r>
            <w:proofErr w:type="spellStart"/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електроопор</w:t>
            </w:r>
            <w:proofErr w:type="spellEnd"/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таксофонів, майданчиків відпочинку та їх обладнання, басейнів, фонтанів, павільйонів місць очікувань міського пасажирського транспорту, контейнерів, урн, написів про належність об’єктів, вивісок, будинкових і шляхових знаків, світлофорів, паспортів на об'єкти будівництва та ремонту</w:t>
            </w:r>
          </w:p>
        </w:tc>
      </w:tr>
      <w:tr w:rsidR="007B6CC1" w:rsidRPr="00854A7A">
        <w:tc>
          <w:tcPr>
            <w:tcW w:w="846" w:type="dxa"/>
          </w:tcPr>
          <w:p w:rsidR="007B6CC1" w:rsidRPr="00D60395" w:rsidRDefault="007B6CC1" w:rsidP="0053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9.7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Огорож, під’їзних шляхів з твердим покриттям, інформаційних стендів (або відсутність їх на будівельних об’єктах), парканів, галерей, перил</w:t>
            </w:r>
          </w:p>
        </w:tc>
      </w:tr>
      <w:tr w:rsidR="007B6CC1" w:rsidRPr="00854A7A">
        <w:tc>
          <w:tcPr>
            <w:tcW w:w="846" w:type="dxa"/>
          </w:tcPr>
          <w:p w:rsidR="007B6CC1" w:rsidRPr="00D60395" w:rsidRDefault="007B6CC1" w:rsidP="0053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9.8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Покриття тротуарів, доріг, площ та їх конструктивних елементів, прибудинкових територій, відсутність кришок люків і решіток на інженерних мережах.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53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9.9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Пам'ятників, скульптур, погрудь, меморіальних дошок.</w:t>
            </w:r>
          </w:p>
        </w:tc>
      </w:tr>
    </w:tbl>
    <w:p w:rsidR="007B6CC1" w:rsidRDefault="007B6CC1">
      <w:pPr>
        <w:rPr>
          <w:lang w:val="uk-UA"/>
        </w:rPr>
      </w:pPr>
    </w:p>
    <w:p w:rsidR="007B6CC1" w:rsidRPr="00CC69E3" w:rsidRDefault="007B6CC1" w:rsidP="005375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69E3">
        <w:rPr>
          <w:rFonts w:ascii="Times New Roman" w:hAnsi="Times New Roman" w:cs="Times New Roman"/>
          <w:sz w:val="24"/>
          <w:szCs w:val="24"/>
          <w:lang w:val="uk-UA"/>
        </w:rPr>
        <w:lastRenderedPageBreak/>
        <w:t>3</w:t>
      </w:r>
    </w:p>
    <w:p w:rsidR="007B6CC1" w:rsidRPr="00275FBE" w:rsidRDefault="007B6CC1" w:rsidP="005375D9">
      <w:pPr>
        <w:ind w:left="6372"/>
        <w:rPr>
          <w:rFonts w:ascii="Times New Roman" w:hAnsi="Times New Roman" w:cs="Times New Roman"/>
        </w:rPr>
      </w:pPr>
      <w:r w:rsidRPr="00275FBE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додатка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tbl>
      <w:tblPr>
        <w:tblW w:w="94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8647"/>
      </w:tblGrid>
      <w:tr w:rsidR="007B6CC1" w:rsidRPr="00D60395">
        <w:tc>
          <w:tcPr>
            <w:tcW w:w="846" w:type="dxa"/>
          </w:tcPr>
          <w:p w:rsidR="007B6CC1" w:rsidRPr="00D60395" w:rsidRDefault="007B6CC1" w:rsidP="0053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9.10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Прибудинкових зелених зон, газонів, клумб, квітників, скверів, зелених розподілювачів, паркових меблів, стоянки машин на газонах та тротуарах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53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9.11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Написання на стінах будинків, інших споруд, парканах, тротуарах, шляхах тощо.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53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Порушення утримання території та забезпечення належного санітарного стану</w:t>
            </w:r>
          </w:p>
        </w:tc>
      </w:tr>
      <w:tr w:rsidR="007B6CC1" w:rsidRPr="00854A7A">
        <w:tc>
          <w:tcPr>
            <w:tcW w:w="846" w:type="dxa"/>
          </w:tcPr>
          <w:p w:rsidR="007B6CC1" w:rsidRPr="00D60395" w:rsidRDefault="007B6CC1" w:rsidP="0053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10.1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Захаращення, не прибирання та несвоєчасне прибирання території та прилеглої території а також складування на них побутового, будівельного сміття, піску, змету, деревини, опалого листя, гілля, снігу, гравію тощо, нанесення транспортними засобами на дорогу, ґрунту, піску чи інших залишків будматеріалів, мийки автотранспорту у не відведених для цього місцях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53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10.2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Несвоєчасне очищення або вивезення та не очищення (не вивезення) вмісту урн, контейнерів для побутових відходів (або їх відсутність), </w:t>
            </w:r>
            <w:proofErr w:type="spellStart"/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сміттєзбірників</w:t>
            </w:r>
            <w:proofErr w:type="spellEnd"/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використаних матеріалів, конструкцій та залишеного </w:t>
            </w:r>
            <w:proofErr w:type="spellStart"/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грунту</w:t>
            </w:r>
            <w:proofErr w:type="spellEnd"/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піску, розчину бетону, сумішей, вигрібних ям. Зливання нечистот з вигрібних ям на прилеглу територію або в комунальні інженерні мережі.</w:t>
            </w:r>
          </w:p>
        </w:tc>
      </w:tr>
      <w:tr w:rsidR="007B6CC1" w:rsidRPr="00854A7A">
        <w:tc>
          <w:tcPr>
            <w:tcW w:w="846" w:type="dxa"/>
          </w:tcPr>
          <w:p w:rsidR="007B6CC1" w:rsidRPr="00D60395" w:rsidRDefault="007B6CC1" w:rsidP="0053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10.3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Несвоєчасне прибирання та </w:t>
            </w:r>
            <w:proofErr w:type="spellStart"/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неприбирання</w:t>
            </w:r>
            <w:proofErr w:type="spellEnd"/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дорожнього покриття, залізничних колій, захисних лісонасаджень (у межах відведених територій), паркових зон та зон відпочинку, пляжів, берегової смуги водоймищ на відстані 50м.</w:t>
            </w:r>
          </w:p>
        </w:tc>
      </w:tr>
      <w:tr w:rsidR="007B6CC1" w:rsidRPr="00854A7A">
        <w:tc>
          <w:tcPr>
            <w:tcW w:w="846" w:type="dxa"/>
          </w:tcPr>
          <w:p w:rsidR="007B6CC1" w:rsidRPr="00D60395" w:rsidRDefault="007B6CC1" w:rsidP="0053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10.4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Організація звалищ та/або складування  побутових, будівельних відходів та сміття, будівельних матеріалів і конструкцій, снігу, піску, розчинів, землі тощо у не відведених для цього місцях.</w:t>
            </w:r>
          </w:p>
        </w:tc>
      </w:tr>
      <w:tr w:rsidR="007B6CC1" w:rsidRPr="00854A7A">
        <w:tc>
          <w:tcPr>
            <w:tcW w:w="846" w:type="dxa"/>
          </w:tcPr>
          <w:p w:rsidR="007B6CC1" w:rsidRPr="00D60395" w:rsidRDefault="007B6CC1" w:rsidP="0053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10.5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Не виконання робіт з ліквідації несанкціонованих звалищ та несвоєчасна ліквідація несанкціонованих звалищ.</w:t>
            </w:r>
          </w:p>
        </w:tc>
      </w:tr>
      <w:tr w:rsidR="007B6CC1" w:rsidRPr="00854A7A">
        <w:tc>
          <w:tcPr>
            <w:tcW w:w="846" w:type="dxa"/>
          </w:tcPr>
          <w:p w:rsidR="007B6CC1" w:rsidRPr="00D60395" w:rsidRDefault="007B6CC1" w:rsidP="0053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10.6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Накопичення на дорозі розчинів, сумішей, ґрунту, різних матеріалів, побутового сміття та різних відходів виробництва</w:t>
            </w:r>
          </w:p>
        </w:tc>
      </w:tr>
      <w:tr w:rsidR="007B6CC1" w:rsidRPr="00854A7A">
        <w:tc>
          <w:tcPr>
            <w:tcW w:w="846" w:type="dxa"/>
          </w:tcPr>
          <w:p w:rsidR="007B6CC1" w:rsidRPr="00D60395" w:rsidRDefault="007B6CC1" w:rsidP="0053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10.7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Захоронення в землю або виливання на землю використаних матеріалів, відходів виробництва, побутового і будівельного сміття, розчинів, сумішей, бетону та різних екологічно отруйних речовин, сполук.</w:t>
            </w:r>
          </w:p>
        </w:tc>
      </w:tr>
      <w:tr w:rsidR="007B6CC1" w:rsidRPr="00854A7A">
        <w:tc>
          <w:tcPr>
            <w:tcW w:w="846" w:type="dxa"/>
          </w:tcPr>
          <w:p w:rsidR="007B6CC1" w:rsidRPr="00D60395" w:rsidRDefault="007B6CC1" w:rsidP="0053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10.8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Спалювання листя, трави, бур’яну, сухої рослинності, відходів виробництва, побутового сміття, відходів деревини, розпалювання вогнищ на території зелених насаджень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53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10.9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Несвоєчасне усунення та </w:t>
            </w:r>
            <w:proofErr w:type="spellStart"/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не-</w:t>
            </w:r>
            <w:proofErr w:type="spellEnd"/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усунення порослі з будівель, споруд, конструкцій, лунок, дерев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53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10.10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Складування змету, сміття листя гілля та інших відходів в лунках дерев, живоплотах, клумбах, квітниках та на територіях зелених насаджень</w:t>
            </w:r>
          </w:p>
        </w:tc>
      </w:tr>
    </w:tbl>
    <w:p w:rsidR="007B6CC1" w:rsidRDefault="007B6CC1">
      <w:pPr>
        <w:rPr>
          <w:lang w:val="uk-UA"/>
        </w:rPr>
      </w:pPr>
    </w:p>
    <w:p w:rsidR="007B6CC1" w:rsidRPr="00CC69E3" w:rsidRDefault="007B6CC1" w:rsidP="005375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69E3">
        <w:rPr>
          <w:rFonts w:ascii="Times New Roman" w:hAnsi="Times New Roman" w:cs="Times New Roman"/>
          <w:sz w:val="24"/>
          <w:szCs w:val="24"/>
          <w:lang w:val="uk-UA"/>
        </w:rPr>
        <w:lastRenderedPageBreak/>
        <w:t>4</w:t>
      </w:r>
    </w:p>
    <w:p w:rsidR="007B6CC1" w:rsidRPr="00275FBE" w:rsidRDefault="007B6CC1" w:rsidP="005375D9">
      <w:pPr>
        <w:ind w:left="6372"/>
        <w:rPr>
          <w:rFonts w:ascii="Times New Roman" w:hAnsi="Times New Roman" w:cs="Times New Roman"/>
        </w:rPr>
      </w:pPr>
      <w:r w:rsidRPr="00275FBE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додатка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tbl>
      <w:tblPr>
        <w:tblW w:w="94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8647"/>
      </w:tblGrid>
      <w:tr w:rsidR="007B6CC1" w:rsidRPr="00D60395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10.11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Невиконання робіт з косіння, знищення бур’янів та об’єктів рослинного карантину на прилеглих і закріплених територіях, газонах, зелених зонах, алеях парках, скверах дворових територіях тощо</w:t>
            </w:r>
          </w:p>
        </w:tc>
      </w:tr>
      <w:tr w:rsidR="007B6CC1" w:rsidRPr="00854A7A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10.12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Несвоєчасне зрізання та вивезення сухих гілок, дерев, викорчування пнів та їх вивезення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10.13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Відсутність договору про надання послуг з поводження з побутовими відходами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10.14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Відсутність на території приватного будинковолодіння 100-120-літрових бачків для збору та вивезення твердих побутових відходів</w:t>
            </w:r>
          </w:p>
        </w:tc>
      </w:tr>
      <w:tr w:rsidR="007B6CC1" w:rsidRPr="00854A7A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10.15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Неприбирання</w:t>
            </w:r>
            <w:proofErr w:type="spellEnd"/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та несвоєчасне прибирання території і прилеглих територій від снігу та снігового накату до твердого покриття, не посипка інертним матеріалом (піщано-сольовою сумішшю); невиконання та не своєчасне виконання робіт з очищення дахів, водостічних труб, карнизів від льоду, льодових утворень, бурульок тощо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10.16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Виведення каналізаційних стоків та виливання рідких нечистот на території та водойми громади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10.17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Виведення водостічних елементів (труб, жолобів, ринв) на проїжджу частину вулиць. Відкачування та виливання води на проїжджу частину вулиць, тротуари, у водойми, а також відведення стічних вод на тротуари, шляхи та інші місця, не передбачені технологією відводу стічних вод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10.18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Самовільне виведення будь-яких стоків на територію громади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10.19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Перевезення автомобілями, транспортними засобами сипучих матеріалів, будівельних матеріалів, відходів, твердих побутових відходів, листя без тенту</w:t>
            </w:r>
          </w:p>
        </w:tc>
      </w:tr>
      <w:tr w:rsidR="007B6CC1" w:rsidRPr="00854A7A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10.20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Відсутність водовідвідного кювету та перепускних труб (або неналежне їх утримання) в межах закріпленої та прилеглої території присадибної ділянки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10.21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Відсутність мийки з оборотним </w:t>
            </w:r>
            <w:proofErr w:type="spellStart"/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водозабезпеченням</w:t>
            </w:r>
            <w:proofErr w:type="spellEnd"/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для миття коліс виїжджаючих з будівельного майданчика машин та механізмів.</w:t>
            </w:r>
          </w:p>
        </w:tc>
      </w:tr>
      <w:tr w:rsidR="007B6CC1" w:rsidRPr="00854A7A">
        <w:tc>
          <w:tcPr>
            <w:tcW w:w="846" w:type="dxa"/>
          </w:tcPr>
          <w:p w:rsidR="007B6CC1" w:rsidRPr="00D60395" w:rsidRDefault="007B6CC1" w:rsidP="0053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10.22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Самовільне переміщення контейнерів для збору твердих побутових відходів (ТПВ) в інше місце розташування</w:t>
            </w:r>
          </w:p>
        </w:tc>
      </w:tr>
      <w:tr w:rsidR="007B6CC1" w:rsidRPr="00854A7A">
        <w:tc>
          <w:tcPr>
            <w:tcW w:w="846" w:type="dxa"/>
          </w:tcPr>
          <w:p w:rsidR="007B6CC1" w:rsidRPr="00D60395" w:rsidRDefault="007B6CC1" w:rsidP="0053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Порушення у розміщенні тимчасових споруд, архітектурних малих форм, </w:t>
            </w:r>
            <w:proofErr w:type="spellStart"/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рекламоносіїв</w:t>
            </w:r>
            <w:proofErr w:type="spellEnd"/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, літніх торгових майданчиків, елементів зовнішнього благоустрою</w:t>
            </w:r>
          </w:p>
        </w:tc>
      </w:tr>
      <w:tr w:rsidR="007B6CC1" w:rsidRPr="00854A7A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11.1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Самовільне встановлення або розміщення тимчасових споруд, малих архітектурних форм, павільйонів, кіосків, лотків, гаражів, літніх торговельних майданчиків, </w:t>
            </w:r>
            <w:proofErr w:type="spellStart"/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рекламоносіїв</w:t>
            </w:r>
            <w:proofErr w:type="spellEnd"/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(конструктивних елементів), навісів тощо</w:t>
            </w:r>
          </w:p>
        </w:tc>
      </w:tr>
    </w:tbl>
    <w:p w:rsidR="007B6CC1" w:rsidRDefault="007B6CC1">
      <w:pPr>
        <w:rPr>
          <w:lang w:val="uk-UA"/>
        </w:rPr>
      </w:pPr>
    </w:p>
    <w:p w:rsidR="007B6CC1" w:rsidRDefault="007B6CC1">
      <w:pPr>
        <w:rPr>
          <w:lang w:val="uk-UA"/>
        </w:rPr>
      </w:pPr>
    </w:p>
    <w:p w:rsidR="007B6CC1" w:rsidRPr="00CC69E3" w:rsidRDefault="007B6CC1" w:rsidP="005375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69E3">
        <w:rPr>
          <w:rFonts w:ascii="Times New Roman" w:hAnsi="Times New Roman" w:cs="Times New Roman"/>
          <w:sz w:val="24"/>
          <w:szCs w:val="24"/>
          <w:lang w:val="uk-UA"/>
        </w:rPr>
        <w:lastRenderedPageBreak/>
        <w:t>5</w:t>
      </w:r>
    </w:p>
    <w:p w:rsidR="007B6CC1" w:rsidRPr="00275FBE" w:rsidRDefault="007B6CC1" w:rsidP="005375D9">
      <w:pPr>
        <w:ind w:left="6372"/>
        <w:rPr>
          <w:rFonts w:ascii="Times New Roman" w:hAnsi="Times New Roman" w:cs="Times New Roman"/>
        </w:rPr>
      </w:pPr>
      <w:r w:rsidRPr="00275FBE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додатка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tbl>
      <w:tblPr>
        <w:tblW w:w="94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8647"/>
      </w:tblGrid>
      <w:tr w:rsidR="007B6CC1" w:rsidRPr="00854A7A">
        <w:tc>
          <w:tcPr>
            <w:tcW w:w="846" w:type="dxa"/>
          </w:tcPr>
          <w:p w:rsidR="007B6CC1" w:rsidRPr="00D60395" w:rsidRDefault="007B6CC1" w:rsidP="0053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11.2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Самовільне розміщення пересувних тимчасових споруд,  торговельних лотків, столиків, автоматів з розливу питної води, </w:t>
            </w:r>
            <w:proofErr w:type="spellStart"/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кавоматів</w:t>
            </w:r>
            <w:proofErr w:type="spellEnd"/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візків, автомобілів, </w:t>
            </w:r>
            <w:proofErr w:type="spellStart"/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кавомобілів</w:t>
            </w:r>
            <w:proofErr w:type="spellEnd"/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тощо, а також нецільове використання елементів благоустрою.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53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11.3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Самовільне розміщення холодильного обладнання</w:t>
            </w:r>
          </w:p>
        </w:tc>
      </w:tr>
      <w:tr w:rsidR="007B6CC1" w:rsidRPr="00854A7A">
        <w:tc>
          <w:tcPr>
            <w:tcW w:w="846" w:type="dxa"/>
          </w:tcPr>
          <w:p w:rsidR="007B6CC1" w:rsidRPr="00D60395" w:rsidRDefault="007B6CC1" w:rsidP="0053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11.4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Самовільне розміщення альтанок, павільйонів, навісів, вуличних ваз, вазонів і амфор, декоративних та ігрових скульптур, вуличних меблів (лавки, лави, столи тощо), сходів, балюстрад, огорож, воріт, ґрат, інших елементів благоустрою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53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Порушення у розміщенні об’єктів зовнішньої реклами</w:t>
            </w:r>
          </w:p>
        </w:tc>
      </w:tr>
      <w:tr w:rsidR="007B6CC1" w:rsidRPr="00854A7A">
        <w:tc>
          <w:tcPr>
            <w:tcW w:w="846" w:type="dxa"/>
          </w:tcPr>
          <w:p w:rsidR="007B6CC1" w:rsidRPr="00D60395" w:rsidRDefault="007B6CC1" w:rsidP="0053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12.1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Самовільне розміщення будь-яких стендів, плакатів, панно, екранів, тумб, вивісок, покажчиків, транспарантів, тролів, зонтів, повітряних куль тощо 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12.2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Розміщення або розклеювання реклами та оголошень у </w:t>
            </w:r>
            <w:proofErr w:type="spellStart"/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невідведених</w:t>
            </w:r>
            <w:proofErr w:type="spellEnd"/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для цього місцях</w:t>
            </w:r>
          </w:p>
        </w:tc>
      </w:tr>
      <w:tr w:rsidR="007B6CC1" w:rsidRPr="00854A7A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12.3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Розміщення вивісок або реклами із закриттям вікна, вітрини чи прозорої частини вхідних дверей більш ніж на 50%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12.4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Самовільне розміщення рекламних засобів, зовнішньої реклами, рекламних конструкцій, вивісок, інформаційних табличок, банерів, світлових табло та моніторів, біжучих стрічок, вивісок із динамічною (пульсуючою) </w:t>
            </w:r>
            <w:proofErr w:type="spellStart"/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підсвіткою</w:t>
            </w:r>
            <w:proofErr w:type="spellEnd"/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об’ємно-просторових композицій, вітражів тощо.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12.5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Самовільне розміщення виносних рекламних конструкцій, виносної малогабаритної реклами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12.6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Самовільне розміщення та встановлення технічних елементів (пристроїв) на будівлях та спорудах </w:t>
            </w:r>
          </w:p>
        </w:tc>
      </w:tr>
      <w:tr w:rsidR="007B6CC1" w:rsidRPr="00854A7A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12.7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Самовільне нанесення фарбою чи іншим способом рекламних та інформаційних оголошень, вказівників та покажчиків на покриття тротуарів, доріг, площ, фасади будинків, зупинок громадського транспорту та інші елементи благоустрою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Невиконання припису про усунення порушень законодавства у сфері благоустрою та Правил благоустрою населених пунктів на території Чернівецької міської територіальної громади</w:t>
            </w:r>
          </w:p>
        </w:tc>
      </w:tr>
      <w:tr w:rsidR="007B6CC1" w:rsidRPr="00D60395">
        <w:tc>
          <w:tcPr>
            <w:tcW w:w="846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8647" w:type="dxa"/>
          </w:tcPr>
          <w:p w:rsidR="007B6CC1" w:rsidRPr="00D60395" w:rsidRDefault="007B6CC1" w:rsidP="001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Недотримання </w:t>
            </w:r>
            <w:proofErr w:type="spellStart"/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надавачем</w:t>
            </w:r>
            <w:proofErr w:type="spellEnd"/>
            <w:r w:rsidRPr="00D60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послуг з поводження з побутовими відходами та споживачем послуг правил роздільного збирання побутових відходів</w:t>
            </w:r>
          </w:p>
        </w:tc>
      </w:tr>
    </w:tbl>
    <w:p w:rsidR="007B6CC1" w:rsidRPr="00D60395" w:rsidRDefault="007B6CC1" w:rsidP="00DD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B6CC1" w:rsidRPr="00D60395" w:rsidRDefault="007B6CC1" w:rsidP="00DD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B6CC1" w:rsidRPr="00D60395" w:rsidRDefault="007B6CC1" w:rsidP="00DD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B6CC1" w:rsidRPr="00D60395" w:rsidRDefault="007B6CC1" w:rsidP="00DD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603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Секретар Чернівецької міської ради </w:t>
      </w:r>
      <w:r w:rsidRPr="00D603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D603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D603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Марина КИРИЛЮК</w:t>
      </w:r>
    </w:p>
    <w:p w:rsidR="007B6CC1" w:rsidRPr="00D60395" w:rsidRDefault="007B6CC1" w:rsidP="00DD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B6CC1" w:rsidRPr="00D60395" w:rsidRDefault="007B6CC1" w:rsidP="00DD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B6CC1" w:rsidRPr="00D60395" w:rsidRDefault="007B6CC1" w:rsidP="00DD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B6CC1" w:rsidRPr="00DD2D6B" w:rsidRDefault="007B6CC1">
      <w:pPr>
        <w:rPr>
          <w:lang w:val="uk-UA"/>
        </w:rPr>
      </w:pPr>
    </w:p>
    <w:sectPr w:rsidR="007B6CC1" w:rsidRPr="00DD2D6B" w:rsidSect="00B569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17E"/>
    <w:rsid w:val="001947F8"/>
    <w:rsid w:val="001D36BD"/>
    <w:rsid w:val="00275FBE"/>
    <w:rsid w:val="003E4B02"/>
    <w:rsid w:val="00453796"/>
    <w:rsid w:val="005375D9"/>
    <w:rsid w:val="007B6CC1"/>
    <w:rsid w:val="00854A7A"/>
    <w:rsid w:val="008B4D56"/>
    <w:rsid w:val="00941C3B"/>
    <w:rsid w:val="00A275EC"/>
    <w:rsid w:val="00B56938"/>
    <w:rsid w:val="00CC69E3"/>
    <w:rsid w:val="00CD08AA"/>
    <w:rsid w:val="00D60395"/>
    <w:rsid w:val="00D72621"/>
    <w:rsid w:val="00DA4A5F"/>
    <w:rsid w:val="00DD2D6B"/>
    <w:rsid w:val="00E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6B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6963</Words>
  <Characters>3970</Characters>
  <Application>Microsoft Office Word</Application>
  <DocSecurity>0</DocSecurity>
  <Lines>33</Lines>
  <Paragraphs>21</Paragraphs>
  <ScaleCrop>false</ScaleCrop>
  <Company>SPecialiST RePack</Company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Мойша Рабинович</dc:creator>
  <cp:keywords/>
  <dc:description/>
  <cp:lastModifiedBy>Мойша Рабинович</cp:lastModifiedBy>
  <cp:revision>3</cp:revision>
  <cp:lastPrinted>2023-07-06T12:17:00Z</cp:lastPrinted>
  <dcterms:created xsi:type="dcterms:W3CDTF">2023-07-06T12:17:00Z</dcterms:created>
  <dcterms:modified xsi:type="dcterms:W3CDTF">2023-07-11T11:21:00Z</dcterms:modified>
</cp:coreProperties>
</file>