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19" w:rsidRPr="00042BB1" w:rsidRDefault="001A0519" w:rsidP="00042BB1">
      <w:pPr>
        <w:spacing w:after="0" w:line="240" w:lineRule="auto"/>
      </w:pPr>
      <w:r w:rsidRPr="00042BB1">
        <w:fldChar w:fldCharType="begin"/>
      </w:r>
      <w:r w:rsidRPr="00042BB1">
        <w:instrText xml:space="preserve"> HYPERLINK "https://prozorro.gov.ua/tender/UA-2025-05-16-002429-a" </w:instrText>
      </w:r>
      <w:r w:rsidRPr="00042BB1">
        <w:fldChar w:fldCharType="separate"/>
      </w:r>
      <w:r w:rsidRPr="00042BB1">
        <w:rPr>
          <w:rStyle w:val="a3"/>
          <w:color w:val="auto"/>
        </w:rPr>
        <w:t>Обґрунтування технічних та якісних характеристик предмета закупівлі, розміру витрат, очікуваної вартості предмета закупівлі відповідно до вимог пункту 4-1 постанови Кабінету Міністрів України від 11.10.2016 № 710 «Про ефективне використання державних коштів» (зі змінами) до закупівлі –</w:t>
      </w:r>
      <w:r w:rsidRPr="00042BB1">
        <w:fldChar w:fldCharType="end"/>
      </w:r>
      <w:r w:rsidR="00784B78" w:rsidRPr="00042BB1">
        <w:rPr>
          <w:u w:val="single"/>
        </w:rPr>
        <w:t>Кондиціонери</w:t>
      </w:r>
    </w:p>
    <w:p w:rsidR="00784B78" w:rsidRPr="00042BB1" w:rsidRDefault="00784B78" w:rsidP="00042BB1">
      <w:pPr>
        <w:spacing w:after="0" w:line="240" w:lineRule="auto"/>
      </w:pPr>
    </w:p>
    <w:p w:rsidR="00784B78" w:rsidRPr="00042BB1" w:rsidRDefault="00784B78" w:rsidP="00042BB1">
      <w:pPr>
        <w:spacing w:after="0" w:line="240" w:lineRule="auto"/>
      </w:pPr>
      <w:hyperlink r:id="rId5" w:tgtFrame="_blank" w:history="1">
        <w:r w:rsidRPr="00042BB1">
          <w:rPr>
            <w:rStyle w:val="a3"/>
            <w:color w:val="auto"/>
          </w:rPr>
          <w:t>Тендерна документація Кондиціонери.docx</w:t>
        </w:r>
      </w:hyperlink>
    </w:p>
    <w:p w:rsidR="00784B78" w:rsidRPr="00042BB1" w:rsidRDefault="00784B78" w:rsidP="00042BB1">
      <w:pPr>
        <w:spacing w:after="0" w:line="240" w:lineRule="auto"/>
      </w:pPr>
      <w:hyperlink r:id="rId6" w:tgtFrame="_blank" w:history="1">
        <w:r w:rsidRPr="00042BB1">
          <w:rPr>
            <w:rStyle w:val="a3"/>
            <w:color w:val="auto"/>
          </w:rPr>
          <w:t>Додаток 1 до ТД - Кондиціонери - Перелік документів та або інформації, які подаються Учасником.docx</w:t>
        </w:r>
      </w:hyperlink>
    </w:p>
    <w:p w:rsidR="00012A80" w:rsidRPr="00042BB1" w:rsidRDefault="00012A80" w:rsidP="00042BB1">
      <w:pPr>
        <w:spacing w:after="0" w:line="240" w:lineRule="auto"/>
      </w:pPr>
      <w:hyperlink r:id="rId7" w:tgtFrame="_blank" w:history="1">
        <w:r w:rsidRPr="00042BB1">
          <w:rPr>
            <w:rStyle w:val="a3"/>
            <w:color w:val="auto"/>
          </w:rPr>
          <w:t>Додаток 2 до ТД - Кондиціонери Технічні вимоги до предмета закупівлі.docx</w:t>
        </w:r>
      </w:hyperlink>
    </w:p>
    <w:p w:rsidR="00784B78" w:rsidRPr="00042BB1" w:rsidRDefault="00784B78" w:rsidP="00042BB1">
      <w:pPr>
        <w:spacing w:after="0" w:line="240" w:lineRule="auto"/>
      </w:pPr>
      <w:hyperlink r:id="rId8" w:tgtFrame="_blank" w:history="1">
        <w:r w:rsidRPr="00042BB1">
          <w:rPr>
            <w:rStyle w:val="a3"/>
            <w:color w:val="auto"/>
          </w:rPr>
          <w:t xml:space="preserve">Додаток 3 до ТД - Кондиціонери - </w:t>
        </w:r>
        <w:proofErr w:type="spellStart"/>
        <w:r w:rsidRPr="00042BB1">
          <w:rPr>
            <w:rStyle w:val="a3"/>
            <w:color w:val="auto"/>
          </w:rPr>
          <w:t>Проєкт</w:t>
        </w:r>
        <w:proofErr w:type="spellEnd"/>
        <w:r w:rsidRPr="00042BB1">
          <w:rPr>
            <w:rStyle w:val="a3"/>
            <w:color w:val="auto"/>
          </w:rPr>
          <w:t xml:space="preserve"> </w:t>
        </w:r>
        <w:proofErr w:type="spellStart"/>
        <w:r w:rsidRPr="00042BB1">
          <w:rPr>
            <w:rStyle w:val="a3"/>
            <w:color w:val="auto"/>
          </w:rPr>
          <w:t>договору.docx</w:t>
        </w:r>
      </w:hyperlink>
      <w:proofErr w:type="spellEnd"/>
    </w:p>
    <w:p w:rsidR="00784B78" w:rsidRPr="00042BB1" w:rsidRDefault="00784B78" w:rsidP="00042BB1">
      <w:pPr>
        <w:spacing w:after="0" w:line="240" w:lineRule="auto"/>
      </w:pPr>
      <w:hyperlink r:id="rId9" w:tgtFrame="_blank" w:history="1">
        <w:r w:rsidRPr="00042BB1">
          <w:rPr>
            <w:rStyle w:val="a3"/>
            <w:color w:val="auto"/>
          </w:rPr>
          <w:t>Додаток 4 до ТД - Кондиціонери - документи Переможець.docx</w:t>
        </w:r>
      </w:hyperlink>
    </w:p>
    <w:p w:rsidR="004515AB" w:rsidRPr="00042BB1" w:rsidRDefault="004515AB" w:rsidP="00042BB1">
      <w:pPr>
        <w:spacing w:after="0" w:line="240" w:lineRule="auto"/>
        <w:rPr>
          <w:rFonts w:ascii="Times New Roman" w:hAnsi="Times New Roman" w:cs="Times New Roman"/>
        </w:rPr>
      </w:pPr>
    </w:p>
    <w:p w:rsidR="001A0519" w:rsidRDefault="001A0519" w:rsidP="00042BB1">
      <w:pPr>
        <w:spacing w:after="0" w:line="240" w:lineRule="auto"/>
        <w:jc w:val="both"/>
      </w:pPr>
      <w:r w:rsidRPr="00042BB1">
        <w:t xml:space="preserve">Розрахунок очікуваної вартості здійснено на підставі рішення Чернівецької міської ради про бюджет Чернівецької міської територіальної громади на 2025 р. Розмір бюджетного призначення визначено відповідно до запланованих кошторисних призначень за </w:t>
      </w:r>
      <w:r w:rsidR="00012A80" w:rsidRPr="00042BB1">
        <w:t>КПКВК 0611141 «Забезпечення діяльності інших закладів у сфері освіти», за КПКВК 0610160 «Керівництво і управління у відповідній сфері у містах (місті Києві), селищах, селах, територіальних громадах»</w:t>
      </w:r>
      <w:r w:rsidRPr="00042BB1">
        <w:t>.</w:t>
      </w:r>
    </w:p>
    <w:p w:rsidR="00042BB1" w:rsidRPr="00042BB1" w:rsidRDefault="00042BB1" w:rsidP="00042BB1">
      <w:pPr>
        <w:spacing w:after="0" w:line="240" w:lineRule="auto"/>
        <w:jc w:val="both"/>
      </w:pPr>
    </w:p>
    <w:p w:rsidR="00A81174" w:rsidRDefault="001A0519" w:rsidP="00042BB1">
      <w:pPr>
        <w:spacing w:after="0" w:line="240" w:lineRule="auto"/>
        <w:jc w:val="both"/>
      </w:pPr>
      <w:r w:rsidRPr="00042BB1">
        <w:t xml:space="preserve">Розрахунок очікуваної вартості здійснений з врахуванням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275. </w:t>
      </w:r>
    </w:p>
    <w:p w:rsidR="00042BB1" w:rsidRPr="00042BB1" w:rsidRDefault="00042BB1" w:rsidP="00042BB1">
      <w:pPr>
        <w:spacing w:after="0" w:line="240" w:lineRule="auto"/>
        <w:jc w:val="both"/>
      </w:pPr>
    </w:p>
    <w:p w:rsidR="00012A80" w:rsidRDefault="001A0519" w:rsidP="00042BB1">
      <w:pPr>
        <w:spacing w:after="0" w:line="240" w:lineRule="auto"/>
        <w:jc w:val="both"/>
      </w:pPr>
      <w:r w:rsidRPr="00042BB1">
        <w:t>Обґрунтування технічних та якісних характеристик предмета закупівлі</w:t>
      </w:r>
      <w:r w:rsidR="00042BB1" w:rsidRPr="00042BB1">
        <w:t xml:space="preserve"> </w:t>
      </w:r>
      <w:r w:rsidR="00012A80" w:rsidRPr="00042BB1"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42BB1">
        <w:t xml:space="preserve"> викладена у Додатку № 2 –</w:t>
      </w:r>
      <w:r w:rsidR="00A81174" w:rsidRPr="00042BB1">
        <w:t xml:space="preserve"> </w:t>
      </w:r>
      <w:hyperlink r:id="rId10" w:tgtFrame="_blank" w:history="1">
        <w:r w:rsidR="00012A80" w:rsidRPr="00042BB1">
          <w:rPr>
            <w:rStyle w:val="a3"/>
            <w:color w:val="auto"/>
          </w:rPr>
          <w:t>Додаток 2 до ТД - Кондиціонери Технічні вимоги до предмета закупівлі.docx</w:t>
        </w:r>
      </w:hyperlink>
    </w:p>
    <w:p w:rsidR="00042BB1" w:rsidRPr="00042BB1" w:rsidRDefault="00042BB1" w:rsidP="00042BB1">
      <w:pPr>
        <w:spacing w:after="0" w:line="240" w:lineRule="auto"/>
        <w:jc w:val="both"/>
      </w:pPr>
      <w:bookmarkStart w:id="0" w:name="_GoBack"/>
      <w:bookmarkEnd w:id="0"/>
    </w:p>
    <w:p w:rsidR="001A0519" w:rsidRPr="00042BB1" w:rsidRDefault="00012A80" w:rsidP="00042BB1">
      <w:pPr>
        <w:spacing w:after="0" w:line="240" w:lineRule="auto"/>
        <w:jc w:val="both"/>
      </w:pPr>
      <w:hyperlink r:id="rId11" w:history="1">
        <w:r w:rsidRPr="00042BB1">
          <w:rPr>
            <w:rStyle w:val="a3"/>
            <w:color w:val="auto"/>
          </w:rPr>
          <w:t>https://prozorro.gov.ua/tender/UA-2025-06-06-002861-a?</w:t>
        </w:r>
        <w:r w:rsidRPr="00042BB1">
          <w:rPr>
            <w:rStyle w:val="a3"/>
            <w:color w:val="auto"/>
          </w:rPr>
          <w:t>o</w:t>
        </w:r>
        <w:r w:rsidRPr="00042BB1">
          <w:rPr>
            <w:rStyle w:val="a3"/>
            <w:color w:val="auto"/>
          </w:rPr>
          <w:t>ldVersion</w:t>
        </w:r>
        <w:r w:rsidRPr="00042BB1">
          <w:rPr>
            <w:rStyle w:val="a3"/>
            <w:color w:val="auto"/>
          </w:rPr>
          <w:t>=</w:t>
        </w:r>
        <w:r w:rsidRPr="00042BB1">
          <w:rPr>
            <w:rStyle w:val="a3"/>
            <w:color w:val="auto"/>
          </w:rPr>
          <w:t>true</w:t>
        </w:r>
      </w:hyperlink>
    </w:p>
    <w:p w:rsidR="00012A80" w:rsidRPr="001A0519" w:rsidRDefault="00012A80" w:rsidP="00042BB1">
      <w:pPr>
        <w:jc w:val="both"/>
      </w:pPr>
    </w:p>
    <w:p w:rsidR="004515AB" w:rsidRDefault="004515AB"/>
    <w:p w:rsidR="004515AB" w:rsidRDefault="004515AB"/>
    <w:p w:rsidR="004515AB" w:rsidRDefault="004515AB"/>
    <w:p w:rsidR="004515AB" w:rsidRDefault="004515AB"/>
    <w:p w:rsidR="00A81174" w:rsidRDefault="00A81174"/>
    <w:sectPr w:rsidR="00A811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1B74"/>
    <w:multiLevelType w:val="multilevel"/>
    <w:tmpl w:val="C7B8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75"/>
    <w:rsid w:val="00012A80"/>
    <w:rsid w:val="00042BB1"/>
    <w:rsid w:val="001A0519"/>
    <w:rsid w:val="004515AB"/>
    <w:rsid w:val="005A0F66"/>
    <w:rsid w:val="00784B78"/>
    <w:rsid w:val="00786C75"/>
    <w:rsid w:val="007A143C"/>
    <w:rsid w:val="00A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5A2B"/>
  <w15:chartTrackingRefBased/>
  <w15:docId w15:val="{7E59F2A2-FE06-47DB-A7E4-8F5093FB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43C"/>
  </w:style>
  <w:style w:type="paragraph" w:styleId="1">
    <w:name w:val="heading 1"/>
    <w:basedOn w:val="a"/>
    <w:next w:val="a"/>
    <w:link w:val="10"/>
    <w:uiPriority w:val="9"/>
    <w:qFormat/>
    <w:rsid w:val="004515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51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15A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515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012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6578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572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</w:divsChild>
        </w:div>
        <w:div w:id="14988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680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13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209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610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488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3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1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651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1284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</w:divsChild>
        </w:div>
        <w:div w:id="14048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861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71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0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90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15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513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0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7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-docs.prozorro.gov.ua/get/7f3366a809aa4d998a2147639327f496?Signature=9X3N2EPwex22HFY5RWTgb4VB9hU7%2BXfu51pUCiqT3zbjZpmYRChdP4Swsle13q4gy9RgaZRhris8IGtjcIxjCg%3D%3D&amp;KeyID=5246234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blic-docs.prozorro.gov.ua/get/90519f39401f49b6a1b8f97a0b754fed?Signature=KxgIAHhV2Bkusgjh%2Bzbwa9bUGlHl%2Bjs5yyfzcWW4CmHsAsOCf%2BY%2F%2BjvDu4DpwJAOx4yNEuCHBy0IT82ebrkRBg%3D%3D&amp;KeyID=5246234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-docs.prozorro.gov.ua/get/6cf21f6a9b8f4b6bab8e3332d0faa9bc?Signature=rln%2F0H17H06oCMsf1QgWlOMnlTG%2FVhgsLSJMQWN9GPzBgLwYX6JnbJQrQ88rNcUhUfTxWVZA0iiy4WwWd84EDA%3D%3D&amp;KeyID=52462340" TargetMode="External"/><Relationship Id="rId11" Type="http://schemas.openxmlformats.org/officeDocument/2006/relationships/hyperlink" Target="https://prozorro.gov.ua/tender/UA-2025-06-06-002861-a?oldVersion=true" TargetMode="External"/><Relationship Id="rId5" Type="http://schemas.openxmlformats.org/officeDocument/2006/relationships/hyperlink" Target="https://public-docs.prozorro.gov.ua/get/ebee5d32b2114916ad9ee1c9a57d1b3a?Signature=2rul6VwPAz6uygkfcInW41%2Bq0J7AU%2BvqQB5%2BN2KvCq6%2B7FHd9c9OQMUQ8g9nk53bS421VN1n0J7OcbmXhHsPCQ%3D%3D&amp;KeyID=52462340" TargetMode="External"/><Relationship Id="rId10" Type="http://schemas.openxmlformats.org/officeDocument/2006/relationships/hyperlink" Target="https://public-docs.prozorro.gov.ua/get/90519f39401f49b6a1b8f97a0b754fed?Signature=KxgIAHhV2Bkusgjh%2Bzbwa9bUGlHl%2Bjs5yyfzcWW4CmHsAsOCf%2BY%2F%2BjvDu4DpwJAOx4yNEuCHBy0IT82ebrkRBg%3D%3D&amp;KeyID=524623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-docs.prozorro.gov.ua/get/8362c7c1d809499d8eb69016fd0efa3b?Signature=ZyW19LIohdJKIr5QX4SBr15tSFavekHnC3waa4CAtD2M8%2FeB5XwBIYHGsSgPZ%2FBcD6Dub%2FbloCi3SXKRDKcABg%3D%3D&amp;KeyID=52462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2056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2025-06-04T07:20:00Z</cp:lastPrinted>
  <dcterms:created xsi:type="dcterms:W3CDTF">2025-06-09T11:20:00Z</dcterms:created>
  <dcterms:modified xsi:type="dcterms:W3CDTF">2025-06-09T11:20:00Z</dcterms:modified>
</cp:coreProperties>
</file>