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689"/>
      </w:tblGrid>
      <w:tr w:rsidR="00C40DA1" w14:paraId="76D315FF" w14:textId="77777777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4AD8F" w14:textId="77777777" w:rsidR="00C40DA1" w:rsidRDefault="00177FA1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bookmarkStart w:id="0" w:name="n2"/>
            <w:bookmarkStart w:id="1" w:name="_GoBack"/>
            <w:bookmarkEnd w:id="0"/>
            <w:bookmarkEnd w:id="1"/>
            <w:r>
              <w:rPr>
                <w:noProof/>
                <w:lang w:val="ru-RU" w:eastAsia="ru-RU"/>
              </w:rPr>
              <w:drawing>
                <wp:inline distT="0" distB="0" distL="0" distR="0" wp14:anchorId="755D0EF0" wp14:editId="0E1311AA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DA1" w14:paraId="61E8DD5E" w14:textId="77777777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FFC9AE" w14:textId="77777777" w:rsidR="00C40DA1" w:rsidRDefault="00177FA1">
            <w:pPr>
              <w:pStyle w:val="rvps17"/>
              <w:spacing w:before="300"/>
              <w:ind w:left="450" w:right="450"/>
              <w:rPr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КАБІНЕТ МІНІСТРІВ УКРАЇНИ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64"/>
                <w:lang w:val="uk" w:eastAsia="uk"/>
              </w:rPr>
              <w:t>РОЗПОРЯДЖЕННЯ</w:t>
            </w:r>
          </w:p>
        </w:tc>
      </w:tr>
      <w:tr w:rsidR="00C40DA1" w14:paraId="25370843" w14:textId="77777777">
        <w:trPr>
          <w:jc w:val="center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15217" w14:textId="77777777" w:rsidR="00C40DA1" w:rsidRDefault="00177FA1">
            <w:pPr>
              <w:pStyle w:val="rvps7"/>
              <w:spacing w:before="150" w:after="150"/>
              <w:ind w:left="450" w:right="4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від 4 серпня 2021 р. № 898-р </w:t>
            </w:r>
            <w:r>
              <w:rPr>
                <w:rStyle w:val="spanrvts9"/>
                <w:lang w:val="uk" w:eastAsia="uk"/>
              </w:rPr>
              <w:br/>
              <w:t>Київ</w:t>
            </w:r>
          </w:p>
        </w:tc>
      </w:tr>
    </w:tbl>
    <w:p w14:paraId="4B44A5E4" w14:textId="77777777" w:rsidR="00C40DA1" w:rsidRDefault="00177FA1">
      <w:pPr>
        <w:pStyle w:val="rvps6"/>
        <w:spacing w:before="300" w:after="450"/>
        <w:ind w:left="450" w:right="450"/>
        <w:rPr>
          <w:lang w:val="uk" w:eastAsia="uk"/>
        </w:rPr>
      </w:pPr>
      <w:bookmarkStart w:id="2" w:name="n3"/>
      <w:bookmarkEnd w:id="2"/>
      <w:r>
        <w:rPr>
          <w:rStyle w:val="spanrvts23"/>
          <w:lang w:val="uk" w:eastAsia="uk"/>
        </w:rPr>
        <w:t>Про затвердження плану заходів щодо реалізації Декларації про безпеку шкіл</w:t>
      </w:r>
    </w:p>
    <w:p w14:paraId="239CF478" w14:textId="77777777" w:rsidR="00C40DA1" w:rsidRDefault="00177FA1">
      <w:pPr>
        <w:pStyle w:val="rvps18"/>
        <w:spacing w:before="150" w:after="300"/>
        <w:ind w:left="450" w:right="450"/>
        <w:rPr>
          <w:i/>
          <w:iCs/>
          <w:lang w:val="uk" w:eastAsia="uk"/>
        </w:rPr>
      </w:pPr>
      <w:bookmarkStart w:id="3" w:name="n14"/>
      <w:bookmarkEnd w:id="3"/>
      <w:r>
        <w:rPr>
          <w:i/>
          <w:iCs/>
          <w:lang w:val="uk" w:eastAsia="uk"/>
        </w:rPr>
        <w:t xml:space="preserve">{Із змінами, внесеними згідно з Розпорядженнями КМ </w:t>
      </w:r>
      <w:r>
        <w:rPr>
          <w:i/>
          <w:iCs/>
          <w:lang w:val="uk" w:eastAsia="uk"/>
        </w:rPr>
        <w:br/>
      </w:r>
      <w:hyperlink r:id="rId7" w:anchor="n2" w:tgtFrame="_blank" w:history="1">
        <w:r>
          <w:rPr>
            <w:rStyle w:val="arvts96"/>
            <w:lang w:val="uk" w:eastAsia="uk"/>
          </w:rPr>
          <w:t>№ 655-р від 28.07.2023</w:t>
        </w:r>
      </w:hyperlink>
      <w:r>
        <w:rPr>
          <w:i/>
          <w:iCs/>
          <w:lang w:val="uk" w:eastAsia="uk"/>
        </w:rPr>
        <w:t xml:space="preserve"> </w:t>
      </w:r>
      <w:r>
        <w:rPr>
          <w:i/>
          <w:iCs/>
          <w:lang w:val="uk" w:eastAsia="uk"/>
        </w:rPr>
        <w:br/>
      </w:r>
      <w:hyperlink r:id="rId8" w:anchor="n2" w:tgtFrame="_blank" w:history="1">
        <w:r>
          <w:rPr>
            <w:rStyle w:val="arvts96"/>
            <w:lang w:val="uk" w:eastAsia="uk"/>
          </w:rPr>
          <w:t>№ 278-р від 29.03.2024</w:t>
        </w:r>
      </w:hyperlink>
      <w:r>
        <w:rPr>
          <w:i/>
          <w:iCs/>
          <w:lang w:val="uk" w:eastAsia="uk"/>
        </w:rPr>
        <w:t>}</w:t>
      </w:r>
    </w:p>
    <w:p w14:paraId="575B74DC" w14:textId="77777777" w:rsidR="00C40DA1" w:rsidRDefault="00177FA1">
      <w:pPr>
        <w:pStyle w:val="rvps2"/>
        <w:spacing w:after="150"/>
        <w:rPr>
          <w:lang w:val="uk" w:eastAsia="uk"/>
        </w:rPr>
      </w:pPr>
      <w:bookmarkStart w:id="4" w:name="n4"/>
      <w:bookmarkEnd w:id="4"/>
      <w:r>
        <w:rPr>
          <w:lang w:val="uk" w:eastAsia="uk"/>
        </w:rPr>
        <w:t xml:space="preserve">1. Затвердити </w:t>
      </w:r>
      <w:hyperlink w:anchor="n10" w:history="1">
        <w:r>
          <w:rPr>
            <w:rStyle w:val="arvts99"/>
            <w:lang w:val="uk" w:eastAsia="uk"/>
          </w:rPr>
          <w:t>план заходів щодо реалізації Декларації про безпеку шкіл</w:t>
        </w:r>
      </w:hyperlink>
      <w:r>
        <w:rPr>
          <w:lang w:val="uk" w:eastAsia="uk"/>
        </w:rPr>
        <w:t>, що додається.</w:t>
      </w:r>
    </w:p>
    <w:p w14:paraId="6A9F10E2" w14:textId="77777777" w:rsidR="00C40DA1" w:rsidRDefault="00177FA1">
      <w:pPr>
        <w:pStyle w:val="rvps2"/>
        <w:spacing w:after="150"/>
        <w:rPr>
          <w:lang w:val="uk" w:eastAsia="uk"/>
        </w:rPr>
      </w:pPr>
      <w:bookmarkStart w:id="5" w:name="n5"/>
      <w:bookmarkEnd w:id="5"/>
      <w:r>
        <w:rPr>
          <w:lang w:val="uk" w:eastAsia="uk"/>
        </w:rPr>
        <w:t>2. Міністерствам, іншим центральним органам виконавчої влади, обласним державним адміністраціям (військовим адміністраціям):</w:t>
      </w:r>
    </w:p>
    <w:p w14:paraId="73579CB1" w14:textId="77777777" w:rsidR="00C40DA1" w:rsidRDefault="00177FA1">
      <w:pPr>
        <w:pStyle w:val="rvps2"/>
        <w:spacing w:after="150"/>
        <w:rPr>
          <w:i/>
          <w:iCs/>
          <w:lang w:val="uk" w:eastAsia="uk"/>
        </w:rPr>
      </w:pPr>
      <w:bookmarkStart w:id="6" w:name="n16"/>
      <w:bookmarkEnd w:id="6"/>
      <w:r>
        <w:rPr>
          <w:rStyle w:val="spanrvts46"/>
          <w:lang w:val="uk" w:eastAsia="uk"/>
        </w:rPr>
        <w:t xml:space="preserve">{Абзац перший пункту 2 із змінами, внесеними згідно з Розпорядженням КМ </w:t>
      </w:r>
      <w:hyperlink r:id="rId9" w:anchor="n10" w:tgtFrame="_blank" w:history="1">
        <w:r>
          <w:rPr>
            <w:rStyle w:val="arvts100"/>
            <w:lang w:val="uk" w:eastAsia="uk"/>
          </w:rPr>
          <w:t>№ 278-р від 29.03.2024</w:t>
        </w:r>
      </w:hyperlink>
      <w:r>
        <w:rPr>
          <w:rStyle w:val="spanrvts46"/>
          <w:lang w:val="uk" w:eastAsia="uk"/>
        </w:rPr>
        <w:t>}</w:t>
      </w:r>
    </w:p>
    <w:p w14:paraId="03233667" w14:textId="77777777" w:rsidR="00C40DA1" w:rsidRDefault="00177FA1">
      <w:pPr>
        <w:pStyle w:val="rvps2"/>
        <w:spacing w:after="150"/>
        <w:rPr>
          <w:lang w:val="uk" w:eastAsia="uk"/>
        </w:rPr>
      </w:pPr>
      <w:bookmarkStart w:id="7" w:name="n6"/>
      <w:bookmarkEnd w:id="7"/>
      <w:r>
        <w:rPr>
          <w:lang w:val="uk" w:eastAsia="uk"/>
        </w:rPr>
        <w:t>забезпечити виконання плану заходів, затвердженого цим розпорядженням;</w:t>
      </w:r>
    </w:p>
    <w:p w14:paraId="78EAC9E2" w14:textId="77777777" w:rsidR="00C40DA1" w:rsidRDefault="00177FA1">
      <w:pPr>
        <w:pStyle w:val="rvps2"/>
        <w:spacing w:after="150"/>
        <w:rPr>
          <w:lang w:val="uk" w:eastAsia="uk"/>
        </w:rPr>
      </w:pPr>
      <w:bookmarkStart w:id="8" w:name="n7"/>
      <w:bookmarkEnd w:id="8"/>
      <w:r>
        <w:rPr>
          <w:lang w:val="uk" w:eastAsia="uk"/>
        </w:rPr>
        <w:t>інформувати щороку до 15 січня Міністерство освіти і науки про стан виконання зазначеного плану заходів для подання до 15 лютого Кабінетові Міністрів України узагальненої інформації.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907"/>
        <w:gridCol w:w="6782"/>
      </w:tblGrid>
      <w:tr w:rsidR="00C40DA1" w14:paraId="616FD892" w14:textId="77777777">
        <w:trPr>
          <w:jc w:val="center"/>
        </w:trPr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FD358" w14:textId="77777777" w:rsidR="00C40DA1" w:rsidRDefault="00177FA1">
            <w:pPr>
              <w:pStyle w:val="rvps4"/>
              <w:spacing w:before="300" w:after="150"/>
              <w:rPr>
                <w:lang w:val="uk" w:eastAsia="uk"/>
              </w:rPr>
            </w:pPr>
            <w:bookmarkStart w:id="9" w:name="n8"/>
            <w:bookmarkEnd w:id="9"/>
            <w:r>
              <w:rPr>
                <w:rStyle w:val="spanrvts44"/>
                <w:lang w:val="uk" w:eastAsia="uk"/>
              </w:rPr>
              <w:t>Прем'єр-міністр України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CBA2" w14:textId="77777777" w:rsidR="00C40DA1" w:rsidRDefault="00C40DA1">
            <w:pPr>
              <w:pStyle w:val="rvps15"/>
              <w:spacing w:before="300"/>
              <w:rPr>
                <w:lang w:val="uk" w:eastAsia="uk"/>
              </w:rPr>
            </w:pPr>
          </w:p>
        </w:tc>
      </w:tr>
      <w:tr w:rsidR="00C40DA1" w14:paraId="15B01ECC" w14:textId="77777777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44743" w14:textId="77777777" w:rsidR="00C40DA1" w:rsidRDefault="00177FA1">
            <w:pPr>
              <w:pStyle w:val="rvps4"/>
              <w:spacing w:before="300" w:after="150"/>
              <w:rPr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>Інд. 73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903B" w14:textId="77777777" w:rsidR="00C40DA1" w:rsidRDefault="00C40DA1">
            <w:pPr>
              <w:pStyle w:val="rvps15"/>
              <w:spacing w:before="300"/>
              <w:rPr>
                <w:lang w:val="uk" w:eastAsia="uk"/>
              </w:rPr>
            </w:pPr>
          </w:p>
        </w:tc>
      </w:tr>
    </w:tbl>
    <w:p w14:paraId="209A3926" w14:textId="77777777" w:rsidR="00C40DA1" w:rsidRDefault="005557FE">
      <w:pPr>
        <w:pStyle w:val="break"/>
        <w:spacing w:after="150"/>
        <w:jc w:val="both"/>
        <w:rPr>
          <w:lang w:val="uk" w:eastAsia="uk"/>
        </w:rPr>
      </w:pPr>
      <w:r>
        <w:lastRenderedPageBreak/>
        <w:pict w14:anchorId="0C995FA2">
          <v:rect id="_x0000_i1025" style="width:0;height:.75pt" o:hrpct="0" o:hrstd="t" o:hr="t" fillcolor="gray" stroked="f">
            <v:path strokeok="f"/>
          </v:rect>
        </w:pict>
      </w:r>
      <w:bookmarkStart w:id="10" w:name="n13"/>
      <w:bookmarkEnd w:id="1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76"/>
        <w:gridCol w:w="5813"/>
      </w:tblGrid>
      <w:tr w:rsidR="00C40DA1" w:rsidRPr="00177FA1" w14:paraId="34D3FA3B" w14:textId="77777777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33C1" w14:textId="77777777" w:rsidR="00C40DA1" w:rsidRDefault="00C40DA1">
            <w:pPr>
              <w:pStyle w:val="rvps14"/>
              <w:spacing w:before="150" w:after="150"/>
              <w:rPr>
                <w:lang w:val="uk" w:eastAsia="uk"/>
              </w:rPr>
            </w:pPr>
            <w:bookmarkStart w:id="11" w:name="n9"/>
            <w:bookmarkEnd w:id="11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161DC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rStyle w:val="spanrvts9"/>
                <w:lang w:val="uk" w:eastAsia="uk"/>
              </w:rPr>
              <w:t xml:space="preserve">ЗАТВЕРДЖЕНО </w:t>
            </w:r>
            <w:r>
              <w:rPr>
                <w:rStyle w:val="spanrvts9"/>
                <w:lang w:val="uk" w:eastAsia="uk"/>
              </w:rPr>
              <w:br/>
              <w:t xml:space="preserve">розпорядженням Кабінету Міністрів України </w:t>
            </w:r>
            <w:r>
              <w:rPr>
                <w:rStyle w:val="spanrvts9"/>
                <w:lang w:val="uk" w:eastAsia="uk"/>
              </w:rPr>
              <w:br/>
              <w:t>від 4 серпня 2021 р. № 898-р</w:t>
            </w:r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(в редакції розпорядження Кабінету Міністрів України </w:t>
            </w:r>
            <w:r>
              <w:rPr>
                <w:rStyle w:val="spanrvts9"/>
                <w:lang w:val="uk" w:eastAsia="uk"/>
              </w:rPr>
              <w:br/>
            </w:r>
            <w:hyperlink r:id="rId10" w:anchor="n13" w:tgtFrame="_blank" w:history="1">
              <w:r>
                <w:rPr>
                  <w:rStyle w:val="arvts101"/>
                  <w:lang w:val="uk" w:eastAsia="uk"/>
                </w:rPr>
                <w:t>від 29 березня 2024 р. № 278-р</w:t>
              </w:r>
            </w:hyperlink>
            <w:r>
              <w:rPr>
                <w:rStyle w:val="spanrvts9"/>
                <w:lang w:val="uk" w:eastAsia="uk"/>
              </w:rPr>
              <w:t>)</w:t>
            </w:r>
          </w:p>
        </w:tc>
      </w:tr>
    </w:tbl>
    <w:p w14:paraId="433383F2" w14:textId="77777777" w:rsidR="00C40DA1" w:rsidRDefault="00177FA1">
      <w:pPr>
        <w:pStyle w:val="rvps6"/>
        <w:spacing w:before="300" w:after="450"/>
        <w:ind w:left="450" w:right="450"/>
        <w:rPr>
          <w:lang w:val="uk" w:eastAsia="uk"/>
        </w:rPr>
      </w:pPr>
      <w:bookmarkStart w:id="12" w:name="n10"/>
      <w:bookmarkEnd w:id="12"/>
      <w:r>
        <w:rPr>
          <w:rStyle w:val="spanrvts23"/>
          <w:lang w:val="uk" w:eastAsia="uk"/>
        </w:rPr>
        <w:t xml:space="preserve">ПЛАН </w:t>
      </w:r>
      <w:r>
        <w:rPr>
          <w:rStyle w:val="spanrvts23"/>
          <w:lang w:val="uk" w:eastAsia="uk"/>
        </w:rPr>
        <w:br/>
        <w:t>заходів щодо реалізації Декларації про безпеку шкіл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66"/>
        <w:gridCol w:w="1784"/>
        <w:gridCol w:w="858"/>
        <w:gridCol w:w="1472"/>
        <w:gridCol w:w="3745"/>
        <w:gridCol w:w="1604"/>
      </w:tblGrid>
      <w:tr w:rsidR="00C40DA1" w14:paraId="659C7B78" w14:textId="77777777">
        <w:trPr>
          <w:jc w:val="center"/>
        </w:trPr>
        <w:tc>
          <w:tcPr>
            <w:tcW w:w="155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14:paraId="2A59C4F0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bookmarkStart w:id="13" w:name="n18"/>
            <w:bookmarkEnd w:id="13"/>
            <w:r>
              <w:rPr>
                <w:lang w:val="uk" w:eastAsia="uk"/>
              </w:rPr>
              <w:t>Найменування заходу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50E505DA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Строк виконання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D1E4DCA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Відповідальні за виконання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E9B372C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Очікуваний результат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14:paraId="73A03EF7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Фінансування</w:t>
            </w:r>
          </w:p>
        </w:tc>
      </w:tr>
      <w:tr w:rsidR="00C40DA1" w:rsidRPr="00177FA1" w14:paraId="20D3375F" w14:textId="77777777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hideMark/>
          </w:tcPr>
          <w:p w14:paraId="3F39A09B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Ефективна система моніторингу нападів на заклади освіти</w:t>
            </w:r>
          </w:p>
        </w:tc>
      </w:tr>
      <w:tr w:rsidR="00C40DA1" w14:paraId="7CFD3A37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0001E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556560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Забезпечення навчання представників місцевих органів управління освітою та представників закладів освіти, що розташовані на територіях, які визначені у переліку територій, на яких ведуться (велися) бойові дії або тимчасово окупованих Російською Федерацією, який затверджується </w:t>
            </w:r>
            <w:proofErr w:type="spellStart"/>
            <w:r>
              <w:rPr>
                <w:lang w:val="uk" w:eastAsia="uk"/>
              </w:rPr>
              <w:t>Мінреінтеграції</w:t>
            </w:r>
            <w:proofErr w:type="spellEnd"/>
            <w:r>
              <w:rPr>
                <w:lang w:val="uk" w:eastAsia="uk"/>
              </w:rPr>
              <w:t xml:space="preserve">, щодо моніторингу та інформування про напади на </w:t>
            </w:r>
            <w:r>
              <w:rPr>
                <w:lang w:val="uk" w:eastAsia="uk"/>
              </w:rPr>
              <w:lastRenderedPageBreak/>
              <w:t>заклади освіти, а також використання їх у військових цілях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2E6910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2024 рік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B815897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обласні держадміністрації (військові адміністрації) </w:t>
            </w:r>
            <w:r>
              <w:rPr>
                <w:lang w:val="uk" w:eastAsia="uk"/>
              </w:rPr>
              <w:br/>
              <w:t xml:space="preserve">Київська міська держадміністрація (військова адміністрація) 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30612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проведено навчання представників місцевих органів управління освітою та закладів освіти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0C469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1B824491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9AF39A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 xml:space="preserve">2. 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42B3D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Впровадження механізму моніторингу, раннього попередження, міжвідомчої взаємодії та евакуації учасників освітнього процесу у разі нападу або ризику нападу на заклад освіти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F9736F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постійно 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3CE0B6B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МОН </w:t>
            </w:r>
            <w:r>
              <w:rPr>
                <w:lang w:val="uk" w:eastAsia="uk"/>
              </w:rPr>
              <w:br/>
              <w:t xml:space="preserve">МВС </w:t>
            </w:r>
            <w:r>
              <w:rPr>
                <w:lang w:val="uk" w:eastAsia="uk"/>
              </w:rPr>
              <w:br/>
              <w:t xml:space="preserve">Національна поліція </w:t>
            </w:r>
            <w:r>
              <w:rPr>
                <w:lang w:val="uk" w:eastAsia="uk"/>
              </w:rPr>
              <w:br/>
              <w:t xml:space="preserve">ДСНС </w:t>
            </w:r>
            <w:r>
              <w:rPr>
                <w:lang w:val="uk" w:eastAsia="uk"/>
              </w:rPr>
              <w:br/>
              <w:t xml:space="preserve">СБУ (за згодою)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Мінреінтеграції</w:t>
            </w:r>
            <w:proofErr w:type="spellEnd"/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  <w:t xml:space="preserve">обласні держадміністрації (військові адміністрації) </w:t>
            </w:r>
            <w:r>
              <w:rPr>
                <w:lang w:val="uk" w:eastAsia="uk"/>
              </w:rPr>
              <w:br/>
              <w:t>Київська міська держадміністрація (військова адміністрація)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98D425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запроваджено механізм моніторингу, раннього попередження, міжвідомчої взаємодії та евакуації учасників освітнього процесу у разі нападу або ризику нападу на заклад освіти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C0F8C33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:rsidRPr="00177FA1" w14:paraId="13FC8880" w14:textId="77777777">
        <w:trPr>
          <w:jc w:val="center"/>
        </w:trPr>
        <w:tc>
          <w:tcPr>
            <w:tcW w:w="5000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8D1F74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Захист закладів освіти від нападів та їх відновлення у разі пошкодження</w:t>
            </w:r>
          </w:p>
        </w:tc>
      </w:tr>
      <w:tr w:rsidR="00C40DA1" w:rsidRPr="00177FA1" w14:paraId="4C46568A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A0D4494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3.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A0CD6C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Забезпечення створення безпечних умов у закладах загальної середньої освіти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9996C08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2024 рік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DD26EE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обласні держадміністрації (військові адміністрації) </w:t>
            </w:r>
            <w:r>
              <w:rPr>
                <w:lang w:val="uk" w:eastAsia="uk"/>
              </w:rPr>
              <w:br/>
              <w:t>Київська міська держадміністрація (військова адміністрація) органи місцевого самоврядування (за згодою)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F4B73B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у закладах загальної середньої освіти: </w:t>
            </w:r>
            <w:r>
              <w:rPr>
                <w:lang w:val="uk" w:eastAsia="uk"/>
              </w:rPr>
              <w:br/>
              <w:t xml:space="preserve">забезпечено створення захисних споруд цивільного захисту або проведено їх ремонт; </w:t>
            </w:r>
            <w:r>
              <w:rPr>
                <w:lang w:val="uk" w:eastAsia="uk"/>
              </w:rPr>
              <w:br/>
              <w:t>забезпечено дотримання вимог законодавства у сфері пожежної та техногенної безпеки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326382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 рахунок субвенції з державного бюджету місцевим бюджетам, а також за рахунок балансоутримувачів закладів освіти в межах асигнувань та видатків, що визначено на відповідний рік, за рахунок інших джерел, не </w:t>
            </w:r>
            <w:r>
              <w:rPr>
                <w:lang w:val="uk" w:eastAsia="uk"/>
              </w:rPr>
              <w:lastRenderedPageBreak/>
              <w:t>заборонених законодавством</w:t>
            </w:r>
          </w:p>
        </w:tc>
      </w:tr>
      <w:tr w:rsidR="00C40DA1" w14:paraId="6A9A9934" w14:textId="77777777">
        <w:trPr>
          <w:jc w:val="center"/>
        </w:trPr>
        <w:tc>
          <w:tcPr>
            <w:tcW w:w="5000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172C273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Забезпечення безперервності навчання</w:t>
            </w:r>
          </w:p>
        </w:tc>
      </w:tr>
      <w:tr w:rsidR="00C40DA1" w14:paraId="6FC62D99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F46184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4.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4DE7F0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Забезпечення педагогічних працівників закладів загальної середньої освіти необхідними технічними засобами для організації дистанційного навчання, інших форм здобуття загальної середньої освіти з використанням технологій дистанційного навчання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C793A5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2024 рік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77CFEC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МОН </w:t>
            </w:r>
            <w:r>
              <w:rPr>
                <w:lang w:val="uk" w:eastAsia="uk"/>
              </w:rPr>
              <w:br/>
              <w:t>міжнародні організації (за згодою)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E70664D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педагогічні працівники забезпечені комп’ютерною технікою для ефективної організації дистанційного навчання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911827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за рахунок донорської допомоги </w:t>
            </w:r>
          </w:p>
        </w:tc>
      </w:tr>
      <w:tr w:rsidR="00C40DA1" w14:paraId="3D982C6D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D02CC9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5.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52EB91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Забезпечення психологічного супроводу освітнього процесу та впровадження програм психоемоційної підтримки для учасників освітнього процесу з урахуванням збройного конфлікту та його наслідків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23FDA2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C5EF50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МОН </w:t>
            </w:r>
            <w:r>
              <w:rPr>
                <w:lang w:val="uk" w:eastAsia="uk"/>
              </w:rPr>
              <w:br/>
              <w:t xml:space="preserve">обласні держадміністрації (військові адміністрації) </w:t>
            </w:r>
            <w:r>
              <w:rPr>
                <w:lang w:val="uk" w:eastAsia="uk"/>
              </w:rPr>
              <w:br/>
              <w:t xml:space="preserve">Київська міська держадміністрація (військова адміністрація) органи місцевого самоврядування (за згодою) </w:t>
            </w:r>
            <w:r>
              <w:rPr>
                <w:lang w:val="uk" w:eastAsia="uk"/>
              </w:rPr>
              <w:br/>
              <w:t xml:space="preserve">Інститут модернізації змісту освіти (за згодою) </w:t>
            </w:r>
            <w:r>
              <w:rPr>
                <w:lang w:val="uk" w:eastAsia="uk"/>
              </w:rPr>
              <w:br/>
              <w:t xml:space="preserve">громадські та </w:t>
            </w:r>
            <w:r>
              <w:rPr>
                <w:lang w:val="uk" w:eastAsia="uk"/>
              </w:rPr>
              <w:lastRenderedPageBreak/>
              <w:t>міжнародні організації (за згодою)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07ACA7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забезпечено постійний психологічний супровід освітнього процесу та впроваджено програми психоемоційної підтримки для учасників освітнього процесу з урахуванням збройного конфлікту та його наслідків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B73C7C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:rsidRPr="00177FA1" w14:paraId="511B8B35" w14:textId="77777777">
        <w:trPr>
          <w:jc w:val="center"/>
        </w:trPr>
        <w:tc>
          <w:tcPr>
            <w:tcW w:w="5000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1ED211A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Забезпечення системності підходів до захисту освіти в умовах збройного конфлікту</w:t>
            </w:r>
          </w:p>
        </w:tc>
      </w:tr>
      <w:tr w:rsidR="00C40DA1" w14:paraId="58B5B5C3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8B842E7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6.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FEB58C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Розроблення механізму міжвідомчої взаємодії з координації заходів імплементації Декларації про безпеку шкіл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BABC37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2024 рік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0D35A9B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МОН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47B0D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 участю заінтересованих органів та установ розроблено та надіслано центральним органам виконавчої влади і органам місцевого самоврядування відповідні рекомендації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4591635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:rsidRPr="00177FA1" w14:paraId="0FF770EE" w14:textId="77777777">
        <w:trPr>
          <w:jc w:val="center"/>
        </w:trPr>
        <w:tc>
          <w:tcPr>
            <w:tcW w:w="5000" w:type="pct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0AD0C2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Інформаційна підтримка впровадження положень Декларації про безпеку шкіл</w:t>
            </w:r>
          </w:p>
        </w:tc>
      </w:tr>
      <w:tr w:rsidR="00C40DA1" w14:paraId="18CBB2D1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2B414C2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7.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8D1617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Забезпечення інформування закладів освіти про вимоги Декларації про безпеку шкіл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95525C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щороку у III кварталі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78583B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МОН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1BCE36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надіслано лист МОН; </w:t>
            </w:r>
            <w:r>
              <w:rPr>
                <w:lang w:val="uk" w:eastAsia="uk"/>
              </w:rPr>
              <w:br/>
              <w:t xml:space="preserve">проведено інформаційні та просвітницькі заходи, зокрема вікторини, конкурси 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DC2E4AD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2917AF16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997B9F7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8.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C621DB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Забезпечення співпраці з цільовою групою ООН із спостереження та звітності з питань дітей та збройних конфліктів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0DA254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194D34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МЗС </w:t>
            </w:r>
            <w:r>
              <w:rPr>
                <w:lang w:val="uk" w:eastAsia="uk"/>
              </w:rPr>
              <w:br/>
              <w:t xml:space="preserve">МОН </w:t>
            </w:r>
            <w:r>
              <w:rPr>
                <w:lang w:val="uk" w:eastAsia="uk"/>
              </w:rPr>
              <w:br/>
              <w:t>інші центральні органи виконавчої влади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BB391D1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подано інформацію про стан захисту прав дітей, включно з атаками на школи та інші заклади освіти, у зв’язку із збройною агресією Російської Федерації проти України за участю цільової групи ООН із спостереження та звітності 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2EDD52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616AC1A6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A4982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9.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6E4D70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Підтримка включення компонента захисту дітей до мандата делегацій та представників України в рамках участі у діяльності ООН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F9D94C9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B61A75A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МЗС </w:t>
            </w:r>
            <w:r>
              <w:rPr>
                <w:lang w:val="uk" w:eastAsia="uk"/>
              </w:rPr>
              <w:br/>
              <w:t xml:space="preserve">МОН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Мінреінтеграції</w:t>
            </w:r>
            <w:proofErr w:type="spellEnd"/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  <w:t>інші центральні органи виконавчої влади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C5E1AB5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забезпечено включення питання захисту дітей та закладів освіти в умовах збройних конфліктів до директив, вказівок і технічного завдання делегацій та представників України в рамках участі в діяльності та заходах ООН та її установ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338B0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1091FF0F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793D93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10.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01F47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Підтримка співпраці з організаціями та установами ООН з питань дітей та збройних конфліктів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C0D5EDE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7FD1CF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МОН </w:t>
            </w:r>
            <w:r>
              <w:rPr>
                <w:lang w:val="uk" w:eastAsia="uk"/>
              </w:rPr>
              <w:br/>
              <w:t xml:space="preserve">МЗС </w:t>
            </w:r>
            <w:r>
              <w:rPr>
                <w:lang w:val="uk" w:eastAsia="uk"/>
              </w:rPr>
              <w:br/>
              <w:t>інші центральні органи виконавчої влади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44E653D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забезпечено сталість міжнародного співробітництва у сфері захисту прав дітей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E8E9FB8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69DA2CF6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BF2922E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11.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3DEBD3D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Інформування міжнародних партнерів України, зокрема на майданчиках ООН, ЄС, НАТО, ОБСЄ та Ради Європи, про здійснення заходів на національному рівні, пов’язаних із дотриманням зобов’язань України за Декларацією про безпеку шкіл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30E8E6D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7AA717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МЗС </w:t>
            </w:r>
            <w:r>
              <w:rPr>
                <w:lang w:val="uk" w:eastAsia="uk"/>
              </w:rPr>
              <w:br/>
              <w:t xml:space="preserve">МОН </w:t>
            </w:r>
            <w:r>
              <w:rPr>
                <w:lang w:val="uk" w:eastAsia="uk"/>
              </w:rPr>
              <w:br/>
              <w:t>інші центральні органи виконавчої влади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C68FFBD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інформацію про досягнутий Україною прогрес у здійсненні заходів, пов’язаних із дотриманням зобов’язань за Декларацією про безпеку шкіл, включено до позиційних матеріалів, технічних завдань, вказівок та директив делегатів/делегацій України, що брали участь у міжнародних форумах/конференціях/консультаціях/зустрічах з відповідної проблематики, а також донесено до відома заінтересованої аудиторії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327D319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  <w:tr w:rsidR="00C40DA1" w14:paraId="76135A38" w14:textId="77777777">
        <w:trPr>
          <w:jc w:val="center"/>
        </w:trPr>
        <w:tc>
          <w:tcPr>
            <w:tcW w:w="1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1FBD31F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12.</w:t>
            </w:r>
          </w:p>
        </w:tc>
        <w:tc>
          <w:tcPr>
            <w:tcW w:w="14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DF52D5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Здійснення заходів щодо обміну інформацією/досвідом з іншими країнами, які приєдналися до Декларації про безпеку шкіл, та взяття участі у заходах з підвищення спроможності заінтересованих сторін щодо впровадження Декларації про </w:t>
            </w:r>
            <w:r>
              <w:rPr>
                <w:lang w:val="uk" w:eastAsia="uk"/>
              </w:rPr>
              <w:lastRenderedPageBreak/>
              <w:t>безпеку шкіл</w:t>
            </w:r>
          </w:p>
        </w:tc>
        <w:tc>
          <w:tcPr>
            <w:tcW w:w="6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7997E8" w14:textId="77777777" w:rsidR="00C40DA1" w:rsidRDefault="00177FA1">
            <w:pPr>
              <w:pStyle w:val="rvps12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постійно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1C59A03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 xml:space="preserve">МОН </w:t>
            </w:r>
            <w:r>
              <w:rPr>
                <w:lang w:val="uk" w:eastAsia="uk"/>
              </w:rPr>
              <w:br/>
              <w:t xml:space="preserve">МЗС </w:t>
            </w:r>
            <w:r>
              <w:rPr>
                <w:lang w:val="uk" w:eastAsia="uk"/>
              </w:rPr>
              <w:br/>
            </w:r>
            <w:proofErr w:type="spellStart"/>
            <w:r>
              <w:rPr>
                <w:lang w:val="uk" w:eastAsia="uk"/>
              </w:rPr>
              <w:t>Мінреінтеграції</w:t>
            </w:r>
            <w:proofErr w:type="spellEnd"/>
            <w:r>
              <w:rPr>
                <w:lang w:val="uk" w:eastAsia="uk"/>
              </w:rPr>
              <w:t xml:space="preserve"> </w:t>
            </w:r>
            <w:r>
              <w:rPr>
                <w:lang w:val="uk" w:eastAsia="uk"/>
              </w:rPr>
              <w:br/>
              <w:t xml:space="preserve">інші центральні органи виконавчої влади </w:t>
            </w:r>
            <w:r>
              <w:rPr>
                <w:lang w:val="uk" w:eastAsia="uk"/>
              </w:rPr>
              <w:br/>
              <w:t xml:space="preserve">обласні держадміністрації (військові адміністрації) </w:t>
            </w:r>
            <w:r>
              <w:rPr>
                <w:lang w:val="uk" w:eastAsia="uk"/>
              </w:rPr>
              <w:br/>
              <w:t xml:space="preserve">Київська міська держадміністрація </w:t>
            </w:r>
            <w:r>
              <w:rPr>
                <w:lang w:val="uk" w:eastAsia="uk"/>
              </w:rPr>
              <w:lastRenderedPageBreak/>
              <w:t xml:space="preserve">(військова адміністрація) </w:t>
            </w:r>
            <w:r>
              <w:rPr>
                <w:lang w:val="uk" w:eastAsia="uk"/>
              </w:rPr>
              <w:br/>
              <w:t>Уповноважений Верховної Ради України з прав людини (за згодою)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B25328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lastRenderedPageBreak/>
              <w:t>забезпечено участь органів виконавчої влади (в межах компетенції) у відповідних заходах</w:t>
            </w:r>
          </w:p>
        </w:tc>
        <w:tc>
          <w:tcPr>
            <w:tcW w:w="9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2D1F36" w14:textId="77777777" w:rsidR="00C40DA1" w:rsidRDefault="00177FA1">
            <w:pPr>
              <w:pStyle w:val="rvps14"/>
              <w:spacing w:before="150" w:after="150"/>
              <w:rPr>
                <w:lang w:val="uk" w:eastAsia="uk"/>
              </w:rPr>
            </w:pPr>
            <w:r>
              <w:rPr>
                <w:lang w:val="uk" w:eastAsia="uk"/>
              </w:rPr>
              <w:t>не потребує</w:t>
            </w:r>
          </w:p>
        </w:tc>
      </w:tr>
    </w:tbl>
    <w:p w14:paraId="5F78FD12" w14:textId="77777777" w:rsidR="00C40DA1" w:rsidRDefault="00177FA1">
      <w:pPr>
        <w:pStyle w:val="rvps2"/>
        <w:spacing w:after="150"/>
        <w:rPr>
          <w:i/>
          <w:iCs/>
          <w:lang w:val="uk" w:eastAsia="uk"/>
        </w:rPr>
      </w:pPr>
      <w:bookmarkStart w:id="14" w:name="n15"/>
      <w:bookmarkEnd w:id="14"/>
      <w:r>
        <w:rPr>
          <w:rStyle w:val="spanrvts46"/>
          <w:lang w:val="uk" w:eastAsia="uk"/>
        </w:rPr>
        <w:lastRenderedPageBreak/>
        <w:t xml:space="preserve">{План заходів із змінами, внесеними згідно з Розпорядженням КМ </w:t>
      </w:r>
      <w:hyperlink r:id="rId11" w:anchor="n4" w:tgtFrame="_blank" w:history="1">
        <w:r>
          <w:rPr>
            <w:rStyle w:val="arvts100"/>
            <w:lang w:val="uk" w:eastAsia="uk"/>
          </w:rPr>
          <w:t>№ 655-р від 28.07.2023</w:t>
        </w:r>
      </w:hyperlink>
      <w:r>
        <w:rPr>
          <w:rStyle w:val="spanrvts46"/>
          <w:lang w:val="uk" w:eastAsia="uk"/>
        </w:rPr>
        <w:t xml:space="preserve">; в редакції Розпорядження КМ </w:t>
      </w:r>
      <w:hyperlink r:id="rId12" w:anchor="n13" w:tgtFrame="_blank" w:history="1">
        <w:r>
          <w:rPr>
            <w:rStyle w:val="arvts100"/>
            <w:lang w:val="uk" w:eastAsia="uk"/>
          </w:rPr>
          <w:t>№ 278-р від 29.03.2024</w:t>
        </w:r>
      </w:hyperlink>
      <w:r>
        <w:rPr>
          <w:rStyle w:val="spanrvts46"/>
          <w:lang w:val="uk" w:eastAsia="uk"/>
        </w:rPr>
        <w:t>}</w:t>
      </w:r>
    </w:p>
    <w:p w14:paraId="3F917694" w14:textId="77777777" w:rsidR="00C40DA1" w:rsidRDefault="00C40DA1">
      <w:pPr>
        <w:pStyle w:val="stamp"/>
        <w:rPr>
          <w:lang w:val="uk" w:eastAsia="uk"/>
        </w:rPr>
      </w:pPr>
    </w:p>
    <w:p w14:paraId="788B0A4E" w14:textId="77777777" w:rsidR="00C40DA1" w:rsidRDefault="00177FA1">
      <w:pPr>
        <w:rPr>
          <w:lang w:val="uk" w:eastAsia="uk"/>
        </w:rPr>
      </w:pPr>
      <w:r>
        <w:rPr>
          <w:lang w:val="uk" w:eastAsia="uk"/>
        </w:rPr>
        <w:br/>
      </w:r>
      <w:r w:rsidR="005557FE">
        <w:pict w14:anchorId="016CA995">
          <v:rect id="_x0000_i1026" style="width:468pt;height:0" o:hralign="center" o:hrstd="t" o:hrnoshade="t" o:hr="t" fillcolor="gray" stroked="f">
            <v:path strokeok="f"/>
          </v:rect>
        </w:pict>
      </w:r>
    </w:p>
    <w:sectPr w:rsidR="00C40DA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5647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325C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CC4C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800F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64D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4AF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667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26DD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3E4D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40DA1"/>
    <w:rsid w:val="00177FA1"/>
    <w:rsid w:val="005557FE"/>
    <w:rsid w:val="00C4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8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arvts101">
    <w:name w:val="a_rvts101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5557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8-2024-%D1%8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655-2023-%D1%80" TargetMode="External"/><Relationship Id="rId12" Type="http://schemas.openxmlformats.org/officeDocument/2006/relationships/hyperlink" Target="https://zakon.rada.gov.ua/laws/show/278-2024-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655-2023-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8-2024-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8-2024-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плану заходів щодо реалізації Декларації про безпеку шкіл | від 04.08.2021 № 898-р</vt:lpstr>
    </vt:vector>
  </TitlesOfParts>
  <Company>SPecialiST RePack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плану заходів щодо реалізації Декларації про безпеку шкіл | від 04.08.2021 № 898-р</dc:title>
  <dc:creator>Admin</dc:creator>
  <cp:lastModifiedBy>Admin</cp:lastModifiedBy>
  <cp:revision>2</cp:revision>
  <dcterms:created xsi:type="dcterms:W3CDTF">2025-11-26T14:41:00Z</dcterms:created>
  <dcterms:modified xsi:type="dcterms:W3CDTF">2025-11-26T14:41:00Z</dcterms:modified>
</cp:coreProperties>
</file>