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D7" w:rsidRDefault="00904AD7" w:rsidP="00904AD7">
      <w:pPr>
        <w:tabs>
          <w:tab w:val="left" w:pos="9639"/>
        </w:tabs>
        <w:ind w:left="2977"/>
        <w:jc w:val="both"/>
        <w:rPr>
          <w:rFonts w:ascii="Times New Roman" w:hAnsi="Times New Roman"/>
          <w:b/>
          <w:sz w:val="28"/>
          <w:szCs w:val="28"/>
        </w:rPr>
      </w:pPr>
    </w:p>
    <w:p w:rsidR="00984917" w:rsidRPr="00984917" w:rsidRDefault="00984917" w:rsidP="00984917">
      <w:pPr>
        <w:jc w:val="center"/>
        <w:rPr>
          <w:rFonts w:ascii="Times New Roman" w:eastAsia="Times New Roman" w:hAnsi="Times New Roman"/>
          <w:sz w:val="28"/>
          <w:lang w:eastAsia="ru-RU"/>
        </w:rPr>
      </w:pPr>
      <w:r w:rsidRPr="00984917">
        <w:rPr>
          <w:rFonts w:ascii="Times New Roman" w:eastAsia="Times New Roman" w:hAnsi="Times New Roman"/>
          <w:noProof/>
          <w:sz w:val="28"/>
          <w:lang w:eastAsia="uk-UA"/>
        </w:rPr>
        <w:drawing>
          <wp:inline distT="0" distB="0" distL="0" distR="0" wp14:anchorId="27727777" wp14:editId="6D5DEA24">
            <wp:extent cx="46482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917" w:rsidRPr="00984917" w:rsidRDefault="00984917" w:rsidP="00984917">
      <w:pP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984917">
        <w:rPr>
          <w:rFonts w:ascii="Times New Roman" w:eastAsia="Times New Roman" w:hAnsi="Times New Roman"/>
          <w:b/>
          <w:sz w:val="36"/>
          <w:szCs w:val="36"/>
          <w:lang w:eastAsia="ru-RU"/>
        </w:rPr>
        <w:t>УКРАЇНА</w:t>
      </w:r>
    </w:p>
    <w:p w:rsidR="00984917" w:rsidRPr="00984917" w:rsidRDefault="00984917" w:rsidP="00984917">
      <w:pPr>
        <w:jc w:val="center"/>
        <w:rPr>
          <w:rFonts w:ascii="Times New Roman" w:eastAsia="Times New Roman" w:hAnsi="Times New Roman"/>
          <w:b/>
          <w:sz w:val="36"/>
          <w:lang w:eastAsia="ru-RU"/>
        </w:rPr>
      </w:pPr>
      <w:r w:rsidRPr="00984917">
        <w:rPr>
          <w:rFonts w:ascii="Times New Roman" w:eastAsia="Times New Roman" w:hAnsi="Times New Roman"/>
          <w:b/>
          <w:sz w:val="36"/>
          <w:lang w:eastAsia="ru-RU"/>
        </w:rPr>
        <w:t xml:space="preserve">  Чернівецька міська  рада</w:t>
      </w:r>
    </w:p>
    <w:p w:rsidR="00984917" w:rsidRPr="00984917" w:rsidRDefault="00984917" w:rsidP="00984917">
      <w:pPr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8491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Управління освіти </w:t>
      </w:r>
    </w:p>
    <w:p w:rsidR="00984917" w:rsidRPr="00984917" w:rsidRDefault="00984917" w:rsidP="00984917">
      <w:pPr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984917" w:rsidRPr="00984917" w:rsidTr="00751472">
        <w:trPr>
          <w:trHeight w:val="100"/>
        </w:trPr>
        <w:tc>
          <w:tcPr>
            <w:tcW w:w="9540" w:type="dxa"/>
          </w:tcPr>
          <w:p w:rsidR="00984917" w:rsidRPr="00984917" w:rsidRDefault="00984917" w:rsidP="009849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9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вул. Героїв Майдану, 176, м. Чернівці, 58029, </w:t>
            </w:r>
            <w:proofErr w:type="spellStart"/>
            <w:r w:rsidRPr="009849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</w:t>
            </w:r>
            <w:proofErr w:type="spellEnd"/>
            <w:r w:rsidRPr="009849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./</w:t>
            </w:r>
            <w:r w:rsidRPr="00984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факс (0372) 53-30-87</w:t>
            </w:r>
          </w:p>
          <w:p w:rsidR="00984917" w:rsidRPr="00984917" w:rsidRDefault="00984917" w:rsidP="0098491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491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984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98491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984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984917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</w:t>
              </w:r>
              <w:r w:rsidRPr="00984917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984917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984917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984917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984917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com</w:t>
              </w:r>
              <w:proofErr w:type="spellEnd"/>
            </w:hyperlink>
            <w:r w:rsidRPr="00984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сайт:</w:t>
            </w:r>
            <w:r w:rsidRPr="00984917">
              <w:rPr>
                <w:rFonts w:ascii="Times New Roman" w:eastAsia="Times New Roman" w:hAnsi="Times New Roman"/>
                <w:sz w:val="28"/>
                <w:lang w:eastAsia="ru-RU"/>
              </w:rPr>
              <w:t xml:space="preserve"> </w:t>
            </w:r>
            <w:hyperlink r:id="rId7" w:history="1">
              <w:r w:rsidRPr="00984917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eastAsia="ru-RU"/>
                </w:rPr>
                <w:t>osvita.cv.ua</w:t>
              </w:r>
            </w:hyperlink>
            <w:r w:rsidRPr="00984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Код ЄДРПОУ №02147345</w:t>
            </w:r>
          </w:p>
          <w:p w:rsidR="00984917" w:rsidRPr="00984917" w:rsidRDefault="00984917" w:rsidP="0098491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984917" w:rsidRPr="00984917" w:rsidRDefault="00984917" w:rsidP="00984917">
      <w:pPr>
        <w:tabs>
          <w:tab w:val="left" w:pos="9639"/>
        </w:tabs>
        <w:ind w:left="3828"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84917">
        <w:rPr>
          <w:rFonts w:ascii="Times New Roman" w:eastAsia="Times New Roman" w:hAnsi="Times New Roman"/>
          <w:b/>
          <w:sz w:val="28"/>
          <w:szCs w:val="28"/>
        </w:rPr>
        <w:t xml:space="preserve">                      </w:t>
      </w:r>
    </w:p>
    <w:p w:rsidR="00984917" w:rsidRPr="00984917" w:rsidRDefault="00984917" w:rsidP="00984917">
      <w:pPr>
        <w:tabs>
          <w:tab w:val="left" w:pos="9639"/>
        </w:tabs>
        <w:ind w:left="3828"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84917">
        <w:rPr>
          <w:rFonts w:ascii="Times New Roman" w:eastAsia="Times New Roman" w:hAnsi="Times New Roman"/>
          <w:b/>
          <w:sz w:val="28"/>
          <w:szCs w:val="28"/>
        </w:rPr>
        <w:t xml:space="preserve">                         Керівникам закладів освіти</w:t>
      </w:r>
    </w:p>
    <w:p w:rsidR="00984917" w:rsidRPr="00984917" w:rsidRDefault="00984917" w:rsidP="00984917">
      <w:pPr>
        <w:tabs>
          <w:tab w:val="left" w:pos="9639"/>
        </w:tabs>
        <w:ind w:left="3828" w:right="1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84917">
        <w:rPr>
          <w:rFonts w:ascii="Times New Roman" w:eastAsia="Times New Roman" w:hAnsi="Times New Roman"/>
          <w:b/>
          <w:sz w:val="28"/>
          <w:szCs w:val="28"/>
        </w:rPr>
        <w:t xml:space="preserve">          Чернівецької МТГ</w:t>
      </w:r>
    </w:p>
    <w:p w:rsidR="00123704" w:rsidRDefault="00123704" w:rsidP="00904AD7">
      <w:pPr>
        <w:tabs>
          <w:tab w:val="left" w:pos="9639"/>
        </w:tabs>
        <w:ind w:left="2977"/>
        <w:jc w:val="both"/>
        <w:rPr>
          <w:rFonts w:ascii="Times New Roman" w:hAnsi="Times New Roman"/>
          <w:b/>
          <w:sz w:val="28"/>
          <w:szCs w:val="28"/>
        </w:rPr>
      </w:pPr>
    </w:p>
    <w:p w:rsidR="00123704" w:rsidRPr="00506BA5" w:rsidRDefault="00123704" w:rsidP="00904AD7">
      <w:pPr>
        <w:tabs>
          <w:tab w:val="left" w:pos="9639"/>
        </w:tabs>
        <w:ind w:left="2977"/>
        <w:jc w:val="both"/>
        <w:rPr>
          <w:rFonts w:ascii="Times New Roman" w:hAnsi="Times New Roman"/>
          <w:b/>
          <w:sz w:val="28"/>
          <w:szCs w:val="28"/>
        </w:rPr>
      </w:pPr>
    </w:p>
    <w:p w:rsidR="00904AD7" w:rsidRPr="00506BA5" w:rsidRDefault="00904AD7" w:rsidP="00904AD7">
      <w:pPr>
        <w:tabs>
          <w:tab w:val="left" w:pos="9639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Щодо заходів безпеки при                                                                             використанні побутових                                                                                         газових балонів</w:t>
      </w:r>
      <w:r w:rsidRPr="00506BA5">
        <w:rPr>
          <w:rFonts w:ascii="Times New Roman" w:hAnsi="Times New Roman"/>
          <w:b/>
          <w:sz w:val="28"/>
          <w:szCs w:val="28"/>
        </w:rPr>
        <w:t xml:space="preserve"> </w:t>
      </w:r>
    </w:p>
    <w:p w:rsidR="00904AD7" w:rsidRPr="00506BA5" w:rsidRDefault="00904AD7" w:rsidP="00904AD7">
      <w:pPr>
        <w:tabs>
          <w:tab w:val="left" w:pos="9639"/>
        </w:tabs>
        <w:ind w:firstLine="709"/>
        <w:rPr>
          <w:rFonts w:ascii="Times New Roman" w:hAnsi="Times New Roman"/>
          <w:b/>
          <w:sz w:val="28"/>
          <w:szCs w:val="28"/>
        </w:rPr>
      </w:pPr>
    </w:p>
    <w:p w:rsidR="00E15CA1" w:rsidRDefault="00904AD7" w:rsidP="00E15CA1">
      <w:pPr>
        <w:tabs>
          <w:tab w:val="left" w:pos="709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Після масованих ракетно-</w:t>
      </w:r>
      <w:proofErr w:type="spellStart"/>
      <w:r>
        <w:rPr>
          <w:rFonts w:ascii="Times New Roman" w:hAnsi="Times New Roman"/>
          <w:bCs/>
          <w:sz w:val="28"/>
          <w:szCs w:val="28"/>
        </w:rPr>
        <w:t>дронових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атак </w:t>
      </w:r>
      <w:r w:rsidR="00E15CA1">
        <w:rPr>
          <w:rFonts w:ascii="Times New Roman" w:hAnsi="Times New Roman"/>
          <w:bCs/>
          <w:sz w:val="28"/>
          <w:szCs w:val="28"/>
        </w:rPr>
        <w:t xml:space="preserve">російської федерації на об’єкти генерації, мережі передачі та розподілу електроенергії в Україні застосовуються аварійні обмеження споживання електрики. В умовах жорстких обмежень електроенергії збільшується використання газових приладів у побуті. </w:t>
      </w:r>
    </w:p>
    <w:p w:rsidR="00904AD7" w:rsidRPr="00506BA5" w:rsidRDefault="00864449" w:rsidP="00E15CA1">
      <w:pPr>
        <w:tabs>
          <w:tab w:val="left" w:pos="709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Управління освіти Чернівецької міської ради </w:t>
      </w:r>
      <w:r w:rsidR="00891ADE">
        <w:rPr>
          <w:rFonts w:ascii="Times New Roman" w:hAnsi="Times New Roman"/>
          <w:bCs/>
          <w:sz w:val="28"/>
          <w:szCs w:val="28"/>
        </w:rPr>
        <w:t>рекомендує для використання в роботі методичні рекомендації щодо використання побутових газових балонів, що додаються.</w:t>
      </w:r>
      <w:r w:rsidR="00904AD7" w:rsidRPr="00506BA5">
        <w:rPr>
          <w:rFonts w:ascii="Times New Roman" w:hAnsi="Times New Roman"/>
          <w:bCs/>
          <w:sz w:val="28"/>
          <w:szCs w:val="28"/>
        </w:rPr>
        <w:t xml:space="preserve"> </w:t>
      </w:r>
    </w:p>
    <w:p w:rsidR="00904AD7" w:rsidRPr="00506BA5" w:rsidRDefault="00904AD7" w:rsidP="00904AD7">
      <w:pPr>
        <w:tabs>
          <w:tab w:val="left" w:pos="567"/>
        </w:tabs>
        <w:ind w:left="709"/>
        <w:rPr>
          <w:rFonts w:ascii="Times New Roman" w:hAnsi="Times New Roman"/>
          <w:bCs/>
          <w:sz w:val="28"/>
          <w:szCs w:val="28"/>
        </w:rPr>
      </w:pPr>
    </w:p>
    <w:p w:rsidR="00904AD7" w:rsidRPr="00506BA5" w:rsidRDefault="00904AD7" w:rsidP="00904AD7">
      <w:pPr>
        <w:tabs>
          <w:tab w:val="left" w:pos="567"/>
        </w:tabs>
        <w:ind w:left="709"/>
        <w:rPr>
          <w:rFonts w:ascii="Times New Roman" w:hAnsi="Times New Roman"/>
          <w:bCs/>
          <w:sz w:val="28"/>
          <w:szCs w:val="28"/>
        </w:rPr>
      </w:pPr>
      <w:r w:rsidRPr="00506BA5">
        <w:rPr>
          <w:rFonts w:ascii="Times New Roman" w:hAnsi="Times New Roman"/>
          <w:bCs/>
          <w:sz w:val="28"/>
          <w:szCs w:val="28"/>
        </w:rPr>
        <w:t xml:space="preserve">Додаток: на </w:t>
      </w:r>
      <w:r w:rsidR="00C50771">
        <w:rPr>
          <w:rFonts w:ascii="Times New Roman" w:hAnsi="Times New Roman"/>
          <w:bCs/>
          <w:sz w:val="28"/>
          <w:szCs w:val="28"/>
        </w:rPr>
        <w:t>3</w:t>
      </w:r>
      <w:r w:rsidRPr="00506BA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06BA5">
        <w:rPr>
          <w:rFonts w:ascii="Times New Roman" w:hAnsi="Times New Roman"/>
          <w:bCs/>
          <w:sz w:val="28"/>
          <w:szCs w:val="28"/>
        </w:rPr>
        <w:t>арк</w:t>
      </w:r>
      <w:proofErr w:type="spellEnd"/>
      <w:r w:rsidRPr="00506BA5">
        <w:rPr>
          <w:rFonts w:ascii="Times New Roman" w:hAnsi="Times New Roman"/>
          <w:bCs/>
          <w:sz w:val="28"/>
          <w:szCs w:val="28"/>
        </w:rPr>
        <w:t>.</w:t>
      </w:r>
    </w:p>
    <w:p w:rsidR="00904AD7" w:rsidRPr="00506BA5" w:rsidRDefault="00904AD7" w:rsidP="00904AD7">
      <w:pPr>
        <w:tabs>
          <w:tab w:val="left" w:pos="567"/>
        </w:tabs>
        <w:ind w:left="709"/>
        <w:rPr>
          <w:rFonts w:ascii="Times New Roman" w:hAnsi="Times New Roman"/>
          <w:bCs/>
          <w:sz w:val="28"/>
          <w:szCs w:val="28"/>
        </w:rPr>
      </w:pPr>
    </w:p>
    <w:p w:rsidR="00E80393" w:rsidRPr="00E80393" w:rsidRDefault="00E80393" w:rsidP="00E80393">
      <w:pPr>
        <w:tabs>
          <w:tab w:val="left" w:pos="851"/>
        </w:tabs>
        <w:rPr>
          <w:rFonts w:ascii="Times New Roman" w:eastAsia="Calibri" w:hAnsi="Times New Roman"/>
          <w:b/>
          <w:sz w:val="28"/>
          <w:szCs w:val="28"/>
        </w:rPr>
      </w:pPr>
      <w:r w:rsidRPr="00E80393">
        <w:rPr>
          <w:rFonts w:ascii="Times New Roman" w:eastAsia="Calibri" w:hAnsi="Times New Roman"/>
          <w:b/>
          <w:sz w:val="28"/>
          <w:szCs w:val="28"/>
        </w:rPr>
        <w:t>Заступник начальника управління</w:t>
      </w:r>
    </w:p>
    <w:p w:rsidR="00E80393" w:rsidRPr="00E80393" w:rsidRDefault="00E80393" w:rsidP="00E80393">
      <w:pPr>
        <w:tabs>
          <w:tab w:val="left" w:pos="851"/>
        </w:tabs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E80393">
        <w:rPr>
          <w:rFonts w:ascii="Times New Roman" w:eastAsia="Calibri" w:hAnsi="Times New Roman"/>
          <w:b/>
          <w:sz w:val="28"/>
          <w:szCs w:val="28"/>
        </w:rPr>
        <w:t>з фінансово-економічних питань                                           Тетяна ДЕНИС</w:t>
      </w:r>
      <w:r w:rsidRPr="00E80393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   </w:t>
      </w:r>
    </w:p>
    <w:p w:rsidR="00E80393" w:rsidRPr="00E80393" w:rsidRDefault="00E80393" w:rsidP="00E80393">
      <w:pPr>
        <w:shd w:val="clear" w:color="auto" w:fill="FFFFFF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E80393" w:rsidRPr="00E80393" w:rsidRDefault="00E80393" w:rsidP="00E80393">
      <w:pPr>
        <w:shd w:val="clear" w:color="auto" w:fill="FFFFFF"/>
        <w:rPr>
          <w:rFonts w:ascii="Times New Roman" w:eastAsia="Times New Roman" w:hAnsi="Times New Roman"/>
          <w:b/>
        </w:rPr>
      </w:pPr>
      <w:r w:rsidRPr="00E80393">
        <w:rPr>
          <w:rFonts w:ascii="Times New Roman" w:eastAsia="Times New Roman" w:hAnsi="Times New Roman"/>
          <w:bCs/>
        </w:rPr>
        <w:t>Надія Шевчук  53-63-17</w:t>
      </w:r>
    </w:p>
    <w:p w:rsidR="00904AD7" w:rsidRDefault="00904AD7" w:rsidP="00904AD7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891ADE" w:rsidRPr="00F54836" w:rsidRDefault="00891ADE" w:rsidP="00904AD7">
      <w:pPr>
        <w:tabs>
          <w:tab w:val="left" w:pos="567"/>
        </w:tabs>
        <w:ind w:firstLine="567"/>
        <w:rPr>
          <w:rFonts w:ascii="Times New Roman" w:hAnsi="Times New Roman"/>
          <w:b/>
          <w:sz w:val="28"/>
          <w:szCs w:val="28"/>
        </w:rPr>
      </w:pPr>
    </w:p>
    <w:p w:rsidR="002078BA" w:rsidRDefault="002078BA"/>
    <w:p w:rsidR="00E80393" w:rsidRDefault="00E80393"/>
    <w:p w:rsidR="00E80393" w:rsidRDefault="00E80393"/>
    <w:p w:rsidR="00E80393" w:rsidRDefault="00E80393"/>
    <w:p w:rsidR="00E80393" w:rsidRDefault="00E80393"/>
    <w:p w:rsidR="00E80393" w:rsidRDefault="00E80393"/>
    <w:p w:rsidR="00E80393" w:rsidRDefault="00E80393"/>
    <w:p w:rsidR="00E80393" w:rsidRDefault="00E80393"/>
    <w:p w:rsidR="00E80393" w:rsidRDefault="00E80393"/>
    <w:p w:rsidR="00123704" w:rsidRDefault="00891ADE" w:rsidP="00891ADE">
      <w:pPr>
        <w:ind w:left="5103"/>
        <w:rPr>
          <w:rFonts w:ascii="Times New Roman" w:hAnsi="Times New Roman"/>
          <w:sz w:val="28"/>
          <w:szCs w:val="28"/>
        </w:rPr>
      </w:pPr>
      <w:r w:rsidRPr="00891ADE">
        <w:rPr>
          <w:rFonts w:ascii="Times New Roman" w:hAnsi="Times New Roman"/>
          <w:sz w:val="28"/>
          <w:szCs w:val="28"/>
        </w:rPr>
        <w:lastRenderedPageBreak/>
        <w:t>Додаток до листа</w:t>
      </w:r>
      <w:r w:rsidR="00123704">
        <w:rPr>
          <w:rFonts w:ascii="Times New Roman" w:hAnsi="Times New Roman"/>
          <w:sz w:val="28"/>
          <w:szCs w:val="28"/>
        </w:rPr>
        <w:t xml:space="preserve"> Управління</w:t>
      </w:r>
    </w:p>
    <w:p w:rsidR="00891ADE" w:rsidRDefault="00123704" w:rsidP="00891ADE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освіти ЧМР</w:t>
      </w:r>
      <w:r w:rsidR="00891ADE" w:rsidRPr="00891ADE">
        <w:rPr>
          <w:rFonts w:ascii="Times New Roman" w:hAnsi="Times New Roman"/>
          <w:sz w:val="28"/>
          <w:szCs w:val="28"/>
        </w:rPr>
        <w:t xml:space="preserve"> </w:t>
      </w:r>
    </w:p>
    <w:p w:rsidR="00891ADE" w:rsidRDefault="00891ADE" w:rsidP="00891ADE">
      <w:pPr>
        <w:ind w:left="5103"/>
        <w:rPr>
          <w:rFonts w:ascii="Times New Roman" w:hAnsi="Times New Roman"/>
          <w:sz w:val="28"/>
          <w:szCs w:val="28"/>
        </w:rPr>
      </w:pPr>
    </w:p>
    <w:p w:rsidR="00BC2C23" w:rsidRPr="00C50771" w:rsidRDefault="00BC2C23" w:rsidP="00BC2C2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50771">
        <w:rPr>
          <w:rFonts w:ascii="Times New Roman" w:hAnsi="Times New Roman"/>
          <w:b/>
          <w:bCs/>
          <w:sz w:val="28"/>
          <w:szCs w:val="28"/>
        </w:rPr>
        <w:t>Методичні рекомендації</w:t>
      </w:r>
    </w:p>
    <w:p w:rsidR="00891ADE" w:rsidRPr="00C50771" w:rsidRDefault="00BC2C23" w:rsidP="00BC2C2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50771">
        <w:rPr>
          <w:rFonts w:ascii="Times New Roman" w:hAnsi="Times New Roman"/>
          <w:b/>
          <w:bCs/>
          <w:sz w:val="28"/>
          <w:szCs w:val="28"/>
        </w:rPr>
        <w:t xml:space="preserve"> щодо безпечної експлуатації побутових газових балонів</w:t>
      </w:r>
    </w:p>
    <w:p w:rsidR="00BC2C23" w:rsidRPr="00BC2C23" w:rsidRDefault="00BC2C23" w:rsidP="00BC2C23">
      <w:pPr>
        <w:jc w:val="center"/>
        <w:rPr>
          <w:rFonts w:ascii="Times New Roman" w:hAnsi="Times New Roman"/>
          <w:sz w:val="28"/>
          <w:szCs w:val="28"/>
        </w:rPr>
      </w:pPr>
    </w:p>
    <w:p w:rsidR="00BC2C23" w:rsidRPr="00FE2493" w:rsidRDefault="00BC2C23" w:rsidP="00BC2C23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Купувати газові балони та газове обладнання слід лише у спеціалізованих організаціях, які мають сертифікати на реалізацію цієї продукції. Адже відповідальність за безпечну експлуатацію робочих газових приладів та їх утримання у належному стані несуть їхні власники. Ніколи не купуйте газові прилади, у тому числі газові балони у сторонніх осіб.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Обов'язковою є щорічна перевірка газового обладнання фахівцями.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BC2C23" w:rsidRPr="00FE2493" w:rsidRDefault="00BC2C23" w:rsidP="00BC2C23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4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Пам'ятайте, що газ у суміші з повітрям </w:t>
      </w:r>
      <w:proofErr w:type="spellStart"/>
      <w:r w:rsidRPr="00FE24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вибухопожежний</w:t>
      </w:r>
      <w:proofErr w:type="spellEnd"/>
      <w:r w:rsidRPr="00FE249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!</w:t>
      </w:r>
    </w:p>
    <w:p w:rsidR="00BC2C23" w:rsidRPr="00FE2493" w:rsidRDefault="00BC2C23" w:rsidP="00BC2C23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Джерелами займання суміші можуть стати: відкритий вогонь (сірники, цигарки тощо), електрична іскра, що виникає при вмиканні та вимиканні електроприладів.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Щоб уникнути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вибухів, </w:t>
      </w:r>
      <w:r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отруєнь, необхідно перевіряти тягу перед розпалюванням, відразу після включення газових приладів і протягом їх роботи стежити за справністю вентиляційних каналів, постійно провітрювати приміщення, особливо перед сном.</w:t>
      </w:r>
    </w:p>
    <w:p w:rsidR="00BC2C23" w:rsidRDefault="00BC2C23" w:rsidP="00BC2C23">
      <w:pPr>
        <w:shd w:val="clear" w:color="auto" w:fill="FFFFFF"/>
        <w:spacing w:after="144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Газові балони (робочий та запасний) для побутових газових приладів бажано розташовувати поза будівлями (у прибудовах, цокольних та підвальні </w:t>
      </w:r>
      <w:proofErr w:type="spellStart"/>
      <w:r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приміщннях</w:t>
      </w:r>
      <w:proofErr w:type="spellEnd"/>
      <w:r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шафах або під захисними контейнерами, що закривають верхню частину балонів або редуктор) біля глухого простінка на відстані не ближче 5 м від входів у будівлю. Прибудова повинна бути виконана з негорючих матеріалів.</w:t>
      </w:r>
    </w:p>
    <w:p w:rsidR="00BC2C23" w:rsidRPr="00FE2493" w:rsidRDefault="00BC2C23" w:rsidP="00BC2C23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E24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Загальні вимоги</w:t>
      </w:r>
    </w:p>
    <w:p w:rsidR="00BC2C23" w:rsidRDefault="00BC2C23" w:rsidP="009F04FF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Вентиляція</w:t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 Забезпечити постійний приплив свіжого повітря, тримати кватирки відкритими; не затикати вентиляційні отвори взимку. Газ спалює кисень.</w:t>
      </w:r>
      <w:r w:rsidR="009F04FF" w:rsidRP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F04FF"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Постійно перевіряйте тягу</w:t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Перевірка герметичності</w:t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Регулярно перевіряти з'єднання мильною піною. При виявленні витоку негайно перекрити газ, провітрити приміщення, викликати спеціалістів.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Вентиль</w:t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Завжди закривати вентиль на балоні після закінчення роботи. Не залишати працюючі прилади без нагляду, якщо немає автоматики.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Залишкови</w:t>
      </w:r>
      <w:r w:rsidR="00864449">
        <w:rPr>
          <w:rFonts w:ascii="Times New Roman" w:eastAsia="Times New Roman" w:hAnsi="Times New Roman"/>
          <w:sz w:val="28"/>
          <w:szCs w:val="28"/>
          <w:lang w:eastAsia="ru-RU"/>
        </w:rPr>
        <w:t>й тиск: Не допускати повного відп</w:t>
      </w: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рацювання газу, залишати мінімум 0,05 МПа.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Чистота</w:t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 Тримати плиту та балон чистими, запобігати потраплянню жиру та мастила. </w:t>
      </w:r>
    </w:p>
    <w:p w:rsidR="009F04FF" w:rsidRPr="009F04FF" w:rsidRDefault="009F04FF" w:rsidP="00BC2C23">
      <w:pPr>
        <w:shd w:val="clear" w:color="auto" w:fill="FFFFFF"/>
        <w:spacing w:after="18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використовуйте газові плити для опалення, а приміщення, де встановлені газові прилади, для сну та відпочинку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F04FF" w:rsidRPr="00FE2493" w:rsidRDefault="009F04FF" w:rsidP="00BC2C23">
      <w:pPr>
        <w:shd w:val="clear" w:color="auto" w:fill="FFFFFF"/>
        <w:spacing w:after="18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4449" w:rsidRDefault="00864449" w:rsidP="00BC2C23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2C23" w:rsidRPr="00FE2493" w:rsidRDefault="00BC2C23" w:rsidP="00BC2C23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FE24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Вимоги безпеки при роботі</w:t>
      </w:r>
    </w:p>
    <w:p w:rsidR="00C50771" w:rsidRPr="00FE2493" w:rsidRDefault="00BC2C23" w:rsidP="00C50771">
      <w:pPr>
        <w:shd w:val="clear" w:color="auto" w:fill="FFFFFF"/>
        <w:spacing w:after="144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Встановлення</w:t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 Встановлювати балон вертикально, надійно закріпити, щоб уникнути падіння. Відстань до нагрівачів — мінімум 1 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Шланги та редуктор</w:t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 Використовувати лише сертифіковані рукави. Не допускати їх перекручування, сплющування, впливу високих температур. Редуктор має бути справним, з повіреним манометром.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Заміна балона</w:t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 Зняти ковпак спеціальним ключем, не стукати інструментом. Не торкатися вентилів балонів забрудненими руками.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F04F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F04FF"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залишайте працюючі газові прилади без нагляду, якщо вони не мають відповідної автоматики та не розраховані на безперервну роботу.</w:t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F04FF"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Після закінчення користування газом закрити крани на газових приладах, вентилі перед ними, а при користуванні балонами - вентилі балонів</w:t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F04FF"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Регулярно перевіряйте герметичність шлангів та різьбових з'єднань на трубах за допомогою мильної піни</w:t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F04FF"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Тримайте газову плиту у чистоті</w:t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F04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F04FF"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Виходячи з квартири, перекривайте газ на трубі газопроводу або закручуйте вентиль на газовому балоні.</w:t>
      </w:r>
      <w:r w:rsidR="00C5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C5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C5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C5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C5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C5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C507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C50771"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 входом у підвали та льохи, до включення світла та запалення вогню, переконається у відсутності запаху газу.</w:t>
      </w:r>
    </w:p>
    <w:p w:rsidR="00BC2C23" w:rsidRPr="00FE2493" w:rsidRDefault="00BC2C23" w:rsidP="009F04FF">
      <w:pPr>
        <w:shd w:val="clear" w:color="auto" w:fill="FFFFFF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E24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Транспортування та зберігання</w:t>
      </w:r>
    </w:p>
    <w:p w:rsidR="00C50771" w:rsidRDefault="00BC2C23" w:rsidP="00C50771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Перевезення</w:t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 Балони перевозити на спеціальних візках або автомобілем у горизонтальному положенні (вентилями в один бік) з прокладками між ними. Не перевозити порожні та повні балони разом, або кисневі з горючими газами.</w:t>
      </w:r>
      <w:r w:rsidR="009F04F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Зберігання</w:t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 Зберігати в сухому, прохолодному, добре вентильованому місці, подалі від джерел тепла, прямих сонячних променів. Не зберігати порожні та повні балони разом, або балони з різними газами.</w:t>
      </w:r>
    </w:p>
    <w:p w:rsidR="00C50771" w:rsidRDefault="00C50771" w:rsidP="00C50771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04FF" w:rsidRPr="00FE2493" w:rsidRDefault="00BC2C23" w:rsidP="00C50771">
      <w:pPr>
        <w:shd w:val="clear" w:color="auto" w:fill="FFFFFF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249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0771" w:rsidRPr="00C507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Забороняється!</w:t>
      </w:r>
      <w:r w:rsidR="00C50771" w:rsidRPr="00C5077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07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F04FF"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Допускати до користування газовими приладами дітей дошкільного віку, осіб, які не контролюють свої дії та не знають правил користування цими приладами.</w:t>
      </w:r>
    </w:p>
    <w:p w:rsidR="009F04FF" w:rsidRPr="00FE2493" w:rsidRDefault="009F04FF" w:rsidP="00C50771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Зберігати у приміщеннях та підвалах порожні та заповнені зрідженими газами балони. Мати в газифікованому приміщенні більше одного балона місткістю 50 (55)л або двох балонів 27л (один із них запасний).</w:t>
      </w:r>
    </w:p>
    <w:p w:rsidR="009F04FF" w:rsidRPr="00FE2493" w:rsidRDefault="009F04FF" w:rsidP="00C50771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Розташовувати балони проти дверей топки печей на відстані менше 2м від них. Користуватися газом: при несправності газових приладів, відсутності тяги, виявленні витоку газу без проведення перевірки стану димових та вентиляційних каналів.</w:t>
      </w:r>
    </w:p>
    <w:p w:rsidR="009F04FF" w:rsidRDefault="009F04FF" w:rsidP="00C50771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Забороняються будь-які самовільні дії з газовим обладнанням, проведення газифікації без відповідних дозволів, залучення випадкових осіб для ремонту та перестановки газових приладів. Усі види робіт, пов'язані з газом, мають виконуватися лише спеціалізованими організаціями.</w:t>
      </w:r>
    </w:p>
    <w:p w:rsidR="00C50771" w:rsidRDefault="00C50771" w:rsidP="00C50771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50771" w:rsidRPr="00C50771" w:rsidRDefault="00C50771" w:rsidP="00C50771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2C23" w:rsidRPr="00FE2493" w:rsidRDefault="00BC2C23" w:rsidP="00C50771">
      <w:pPr>
        <w:shd w:val="clear" w:color="auto" w:fill="FFFFFF"/>
        <w:ind w:firstLine="708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E249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Дії в аварійних ситуаціях</w:t>
      </w:r>
    </w:p>
    <w:p w:rsidR="00BC2C23" w:rsidRPr="00FE2493" w:rsidRDefault="00C50771" w:rsidP="00C50771">
      <w:pPr>
        <w:shd w:val="clear" w:color="auto" w:fill="FFFFFF"/>
        <w:spacing w:after="144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Витік газу. </w:t>
      </w:r>
      <w:r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виявленні запаху газу у  підвалі, під'їзді,  дворі, на вулиці: повідомити оточуючих про запобіжні заходи; повідомити в газову службу за телефоном 104 із незагазованого місця; вжити заходів до видалення людей із загазованого середовища, запобігання включенню - вимкненню електроосвітлення, появі відкритого вогню та іскри; до прибуття аварійної бригади організувати провітрювання приміщення.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FE24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Будьте уважні з газом! Ваша неуважність можуть завдати неприємності вам, вашим близьким та сусідам. Тільки вміле поводження з газовими приладами та знання правил користування газом допоможе вам уникнути нещасних випадків.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BC2C23" w:rsidRPr="00FE2493">
        <w:rPr>
          <w:rFonts w:ascii="Times New Roman" w:eastAsia="Times New Roman" w:hAnsi="Times New Roman"/>
          <w:sz w:val="28"/>
          <w:szCs w:val="28"/>
          <w:lang w:eastAsia="ru-RU"/>
        </w:rPr>
        <w:t>Пожежа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C2C23" w:rsidRPr="00FE2493">
        <w:rPr>
          <w:rFonts w:ascii="Times New Roman" w:eastAsia="Times New Roman" w:hAnsi="Times New Roman"/>
          <w:sz w:val="28"/>
          <w:szCs w:val="28"/>
          <w:lang w:eastAsia="ru-RU"/>
        </w:rPr>
        <w:t> Викликати пожежну службу (101). Гасити вогнегасником, сухим піском або азбестовим полотном. Якщо горить балон, евакуювати людей, охолодити інші балони водою, не гасити полум'я, якщо є загроза вибуху. </w:t>
      </w:r>
    </w:p>
    <w:p w:rsidR="00BC2C23" w:rsidRPr="00FE2493" w:rsidRDefault="00BC2C23" w:rsidP="00BC2C23">
      <w:pPr>
        <w:shd w:val="clear" w:color="auto" w:fill="FFFFFF"/>
        <w:spacing w:after="144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2C23" w:rsidRPr="00BC2C23" w:rsidRDefault="00BC2C23" w:rsidP="00BC2C23">
      <w:pPr>
        <w:jc w:val="both"/>
        <w:rPr>
          <w:rFonts w:ascii="Times New Roman" w:hAnsi="Times New Roman"/>
          <w:sz w:val="28"/>
          <w:szCs w:val="28"/>
        </w:rPr>
      </w:pPr>
    </w:p>
    <w:sectPr w:rsidR="00BC2C23" w:rsidRPr="00BC2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D1E6C"/>
    <w:multiLevelType w:val="multilevel"/>
    <w:tmpl w:val="AD60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670E6"/>
    <w:multiLevelType w:val="multilevel"/>
    <w:tmpl w:val="F390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8564E"/>
    <w:multiLevelType w:val="multilevel"/>
    <w:tmpl w:val="5E58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C360B1"/>
    <w:multiLevelType w:val="multilevel"/>
    <w:tmpl w:val="7D26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D7"/>
    <w:rsid w:val="00123704"/>
    <w:rsid w:val="002078BA"/>
    <w:rsid w:val="007F2041"/>
    <w:rsid w:val="00864449"/>
    <w:rsid w:val="00891ADE"/>
    <w:rsid w:val="00904AD7"/>
    <w:rsid w:val="00984917"/>
    <w:rsid w:val="009F04FF"/>
    <w:rsid w:val="00BC2C23"/>
    <w:rsid w:val="00C50771"/>
    <w:rsid w:val="00DA750C"/>
    <w:rsid w:val="00E15CA1"/>
    <w:rsid w:val="00E8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ED70"/>
  <w15:chartTrackingRefBased/>
  <w15:docId w15:val="{F7C2CDF7-31CF-4AD8-9E7C-FA833EFD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AD7"/>
    <w:pPr>
      <w:spacing w:after="0" w:line="240" w:lineRule="auto"/>
    </w:pPr>
    <w:rPr>
      <w:rFonts w:asciiTheme="minorHAnsi" w:eastAsiaTheme="minorEastAsia" w:hAnsiTheme="minorHAnsi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04A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vita.c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cv@g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4287</Words>
  <Characters>2445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Upr_kom</cp:lastModifiedBy>
  <cp:revision>7</cp:revision>
  <dcterms:created xsi:type="dcterms:W3CDTF">2026-01-22T09:45:00Z</dcterms:created>
  <dcterms:modified xsi:type="dcterms:W3CDTF">2026-01-23T12:40:00Z</dcterms:modified>
</cp:coreProperties>
</file>