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AB" w:rsidRPr="00820984" w:rsidRDefault="00F554AB" w:rsidP="00F554AB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0984">
        <w:rPr>
          <w:rFonts w:ascii="Times New Roman" w:hAnsi="Times New Roman"/>
          <w:sz w:val="28"/>
          <w:szCs w:val="28"/>
        </w:rPr>
        <w:t xml:space="preserve">    </w:t>
      </w:r>
      <w:r w:rsidRPr="00820984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DD99CD2" wp14:editId="6061F3F0">
            <wp:extent cx="5143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984">
        <w:rPr>
          <w:rFonts w:ascii="Times New Roman" w:hAnsi="Times New Roman"/>
          <w:sz w:val="28"/>
          <w:szCs w:val="28"/>
        </w:rPr>
        <w:t xml:space="preserve">         </w:t>
      </w:r>
    </w:p>
    <w:p w:rsidR="00F554AB" w:rsidRPr="00820984" w:rsidRDefault="00F554AB" w:rsidP="00F55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984">
        <w:rPr>
          <w:rFonts w:ascii="Times New Roman" w:hAnsi="Times New Roman"/>
          <w:b/>
          <w:sz w:val="28"/>
          <w:szCs w:val="28"/>
        </w:rPr>
        <w:t>У К Р А Ї Н А</w:t>
      </w:r>
    </w:p>
    <w:p w:rsidR="00F554AB" w:rsidRPr="00820984" w:rsidRDefault="00F554AB" w:rsidP="00F554AB">
      <w:pPr>
        <w:pStyle w:val="5"/>
        <w:rPr>
          <w:rFonts w:ascii="Times New Roman" w:hAnsi="Times New Roman"/>
          <w:szCs w:val="28"/>
        </w:rPr>
      </w:pPr>
      <w:r w:rsidRPr="00820984">
        <w:rPr>
          <w:rFonts w:ascii="Times New Roman" w:hAnsi="Times New Roman"/>
          <w:szCs w:val="28"/>
        </w:rPr>
        <w:t>Чернівецька міська рада</w:t>
      </w:r>
    </w:p>
    <w:p w:rsidR="00F554AB" w:rsidRPr="00820984" w:rsidRDefault="00F554AB" w:rsidP="00F554AB">
      <w:pPr>
        <w:pStyle w:val="1"/>
        <w:rPr>
          <w:szCs w:val="28"/>
        </w:rPr>
      </w:pPr>
      <w:r w:rsidRPr="00820984"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D81B40" wp14:editId="059A30A8">
                <wp:simplePos x="0" y="0"/>
                <wp:positionH relativeFrom="column">
                  <wp:posOffset>-28575</wp:posOffset>
                </wp:positionH>
                <wp:positionV relativeFrom="paragraph">
                  <wp:posOffset>237490</wp:posOffset>
                </wp:positionV>
                <wp:extent cx="6066790" cy="40005"/>
                <wp:effectExtent l="23495" t="15240" r="1524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400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8.7pt" to="475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" o:allowincell="f" strokeweight="2.25pt"/>
            </w:pict>
          </mc:Fallback>
        </mc:AlternateContent>
      </w:r>
      <w:r w:rsidRPr="00820984">
        <w:rPr>
          <w:szCs w:val="28"/>
        </w:rPr>
        <w:t xml:space="preserve">У П Р А В Л I Н </w:t>
      </w:r>
      <w:proofErr w:type="spellStart"/>
      <w:r w:rsidRPr="00820984">
        <w:rPr>
          <w:szCs w:val="28"/>
        </w:rPr>
        <w:t>Н</w:t>
      </w:r>
      <w:proofErr w:type="spellEnd"/>
      <w:r w:rsidRPr="00820984">
        <w:rPr>
          <w:szCs w:val="28"/>
        </w:rPr>
        <w:t xml:space="preserve"> Я   О С В I Т И</w:t>
      </w:r>
    </w:p>
    <w:p w:rsidR="00F554AB" w:rsidRPr="00820984" w:rsidRDefault="00F554AB" w:rsidP="005D7028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820984">
        <w:rPr>
          <w:rFonts w:ascii="Times New Roman" w:hAnsi="Times New Roman"/>
          <w:sz w:val="28"/>
          <w:szCs w:val="28"/>
        </w:rPr>
        <w:t xml:space="preserve">вул. Героїв Майдану, 176, </w:t>
      </w:r>
      <w:proofErr w:type="spellStart"/>
      <w:r w:rsidRPr="00820984">
        <w:rPr>
          <w:rFonts w:ascii="Times New Roman" w:hAnsi="Times New Roman"/>
          <w:sz w:val="28"/>
          <w:szCs w:val="28"/>
        </w:rPr>
        <w:t>м.Чернівці</w:t>
      </w:r>
      <w:proofErr w:type="spellEnd"/>
      <w:r w:rsidRPr="00820984">
        <w:rPr>
          <w:rFonts w:ascii="Times New Roman" w:hAnsi="Times New Roman"/>
          <w:sz w:val="28"/>
          <w:szCs w:val="28"/>
        </w:rPr>
        <w:t xml:space="preserve">, 58029 тел./факс (0372) 53-30-87,  </w:t>
      </w:r>
    </w:p>
    <w:p w:rsidR="00F554AB" w:rsidRPr="00820984" w:rsidRDefault="00F554AB" w:rsidP="005D7028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820984">
        <w:rPr>
          <w:rFonts w:ascii="Times New Roman" w:hAnsi="Times New Roman"/>
          <w:sz w:val="28"/>
          <w:szCs w:val="28"/>
        </w:rPr>
        <w:t>E-</w:t>
      </w:r>
      <w:proofErr w:type="spellStart"/>
      <w:r w:rsidRPr="00820984">
        <w:rPr>
          <w:rFonts w:ascii="Times New Roman" w:hAnsi="Times New Roman"/>
          <w:sz w:val="28"/>
          <w:szCs w:val="28"/>
        </w:rPr>
        <w:t>mail</w:t>
      </w:r>
      <w:proofErr w:type="spellEnd"/>
      <w:r w:rsidRPr="00820984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820984">
          <w:rPr>
            <w:rStyle w:val="a3"/>
            <w:rFonts w:ascii="Times New Roman" w:hAnsi="Times New Roman"/>
            <w:sz w:val="28"/>
            <w:szCs w:val="28"/>
          </w:rPr>
          <w:t>osvitacv@gmail.com</w:t>
        </w:r>
      </w:hyperlink>
      <w:r w:rsidRPr="00820984">
        <w:rPr>
          <w:rFonts w:ascii="Times New Roman" w:hAnsi="Times New Roman"/>
          <w:sz w:val="28"/>
          <w:szCs w:val="28"/>
        </w:rPr>
        <w:t xml:space="preserve">  Код ЄДРПОУ №02147345</w:t>
      </w:r>
    </w:p>
    <w:p w:rsidR="00F554AB" w:rsidRPr="00820984" w:rsidRDefault="00F554AB" w:rsidP="00F554AB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F554AB" w:rsidRPr="00820984" w:rsidRDefault="00F554AB" w:rsidP="00F554AB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423" w:type="dxa"/>
        <w:tblLook w:val="04A0" w:firstRow="1" w:lastRow="0" w:firstColumn="1" w:lastColumn="0" w:noHBand="0" w:noVBand="1"/>
      </w:tblPr>
      <w:tblGrid>
        <w:gridCol w:w="5955"/>
        <w:gridCol w:w="4049"/>
      </w:tblGrid>
      <w:tr w:rsidR="00F554AB" w:rsidRPr="00820984" w:rsidTr="00194157">
        <w:trPr>
          <w:trHeight w:val="685"/>
          <w:jc w:val="center"/>
        </w:trPr>
        <w:tc>
          <w:tcPr>
            <w:tcW w:w="5955" w:type="dxa"/>
          </w:tcPr>
          <w:p w:rsidR="00F554AB" w:rsidRPr="00820984" w:rsidRDefault="00F554AB" w:rsidP="0019415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820984">
              <w:rPr>
                <w:rFonts w:ascii="Times New Roman" w:hAnsi="Times New Roman"/>
                <w:b/>
                <w:sz w:val="28"/>
                <w:szCs w:val="28"/>
              </w:rPr>
              <w:t>03.11.2017 р. № 01-34/2245</w:t>
            </w:r>
          </w:p>
          <w:p w:rsidR="00F554AB" w:rsidRPr="00820984" w:rsidRDefault="00F554AB" w:rsidP="001941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 w:bidi="hi-IN"/>
              </w:rPr>
            </w:pPr>
          </w:p>
          <w:p w:rsidR="00F554AB" w:rsidRPr="00820984" w:rsidRDefault="00F554AB" w:rsidP="001941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4049" w:type="dxa"/>
          </w:tcPr>
          <w:p w:rsidR="00F554AB" w:rsidRPr="00820984" w:rsidRDefault="00F554AB" w:rsidP="0019415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820984">
              <w:rPr>
                <w:rFonts w:ascii="Times New Roman" w:eastAsia="SimSun" w:hAnsi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Керівникам навчальних закладів</w:t>
            </w:r>
          </w:p>
        </w:tc>
      </w:tr>
    </w:tbl>
    <w:p w:rsidR="00F554AB" w:rsidRPr="00820984" w:rsidRDefault="00F554AB" w:rsidP="00F55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4AB" w:rsidRPr="00820984" w:rsidRDefault="00F554AB" w:rsidP="00F55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2098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 надання інформації</w:t>
      </w:r>
    </w:p>
    <w:p w:rsidR="00F554AB" w:rsidRPr="00820984" w:rsidRDefault="00F554AB" w:rsidP="00F554AB">
      <w:pPr>
        <w:pStyle w:val="1"/>
        <w:jc w:val="both"/>
        <w:rPr>
          <w:rFonts w:eastAsiaTheme="minorHAnsi"/>
        </w:rPr>
      </w:pPr>
    </w:p>
    <w:p w:rsidR="0015768A" w:rsidRPr="00820984" w:rsidRDefault="0015768A" w:rsidP="0015768A">
      <w:pPr>
        <w:pStyle w:val="a7"/>
        <w:ind w:left="0"/>
        <w:jc w:val="both"/>
        <w:rPr>
          <w:rFonts w:eastAsiaTheme="minorHAnsi"/>
          <w:sz w:val="28"/>
          <w:szCs w:val="20"/>
          <w:lang w:eastAsia="x-none"/>
        </w:rPr>
      </w:pPr>
      <w:r w:rsidRPr="00820984">
        <w:rPr>
          <w:rFonts w:eastAsiaTheme="minorHAnsi"/>
          <w:sz w:val="28"/>
          <w:szCs w:val="20"/>
          <w:lang w:eastAsia="x-none"/>
        </w:rPr>
        <w:t xml:space="preserve">  </w:t>
      </w:r>
    </w:p>
    <w:p w:rsidR="0015768A" w:rsidRPr="00820984" w:rsidRDefault="0015768A" w:rsidP="0015768A">
      <w:pPr>
        <w:pStyle w:val="a7"/>
        <w:ind w:left="0"/>
        <w:jc w:val="both"/>
        <w:rPr>
          <w:b/>
          <w:sz w:val="28"/>
          <w:szCs w:val="28"/>
        </w:rPr>
      </w:pPr>
      <w:r w:rsidRPr="00820984">
        <w:rPr>
          <w:rFonts w:eastAsiaTheme="minorHAnsi"/>
          <w:sz w:val="28"/>
          <w:szCs w:val="28"/>
          <w:lang w:eastAsia="x-none"/>
        </w:rPr>
        <w:t xml:space="preserve">   </w:t>
      </w:r>
      <w:r w:rsidR="00820984">
        <w:rPr>
          <w:rFonts w:eastAsiaTheme="minorHAnsi"/>
          <w:sz w:val="28"/>
          <w:szCs w:val="28"/>
          <w:lang w:eastAsia="x-none"/>
        </w:rPr>
        <w:tab/>
      </w:r>
      <w:r w:rsidR="00C74BC8" w:rsidRPr="00820984">
        <w:rPr>
          <w:rFonts w:eastAsiaTheme="minorHAnsi"/>
          <w:sz w:val="28"/>
          <w:szCs w:val="28"/>
        </w:rPr>
        <w:t xml:space="preserve">На  виконання рішення колегії управління освіти Чернівецької міської  ради </w:t>
      </w:r>
      <w:r w:rsidR="00F554AB" w:rsidRPr="00820984">
        <w:rPr>
          <w:rFonts w:eastAsia="Calibri"/>
          <w:sz w:val="28"/>
          <w:szCs w:val="28"/>
          <w:lang w:eastAsia="en-US"/>
        </w:rPr>
        <w:t>від 12.01.201</w:t>
      </w:r>
      <w:r w:rsidR="00C74BC8" w:rsidRPr="00820984">
        <w:rPr>
          <w:rFonts w:eastAsia="Calibri"/>
          <w:sz w:val="28"/>
          <w:szCs w:val="28"/>
          <w:lang w:eastAsia="en-US"/>
        </w:rPr>
        <w:t>7 р. №</w:t>
      </w:r>
      <w:r w:rsidR="00F554AB" w:rsidRPr="00820984">
        <w:rPr>
          <w:rFonts w:eastAsia="Calibri"/>
          <w:sz w:val="28"/>
          <w:szCs w:val="28"/>
          <w:lang w:eastAsia="en-US"/>
        </w:rPr>
        <w:t>1/2017-4  «Про забезпечення індивідуальної та інклюзивної форм навчання учнів у закладах міста»</w:t>
      </w:r>
      <w:r w:rsidR="00F554AB" w:rsidRPr="00820984">
        <w:rPr>
          <w:rFonts w:eastAsiaTheme="minorHAnsi"/>
          <w:sz w:val="28"/>
          <w:szCs w:val="28"/>
        </w:rPr>
        <w:t xml:space="preserve"> управління освіти просить надіслати інформацію </w:t>
      </w:r>
      <w:r w:rsidR="001D56A0" w:rsidRPr="00820984">
        <w:rPr>
          <w:rFonts w:eastAsiaTheme="minorHAnsi"/>
          <w:sz w:val="28"/>
          <w:szCs w:val="28"/>
        </w:rPr>
        <w:t xml:space="preserve">про </w:t>
      </w:r>
      <w:r w:rsidR="00F554AB" w:rsidRPr="00820984">
        <w:rPr>
          <w:rFonts w:eastAsiaTheme="minorHAnsi"/>
          <w:sz w:val="28"/>
          <w:szCs w:val="28"/>
        </w:rPr>
        <w:t>виконання рішен</w:t>
      </w:r>
      <w:r w:rsidR="001D56A0" w:rsidRPr="00820984">
        <w:rPr>
          <w:rFonts w:eastAsiaTheme="minorHAnsi"/>
          <w:sz w:val="28"/>
          <w:szCs w:val="28"/>
        </w:rPr>
        <w:t xml:space="preserve">ня колегії (рішення додається) та </w:t>
      </w:r>
      <w:r w:rsidRPr="00820984">
        <w:rPr>
          <w:rFonts w:eastAsiaTheme="minorHAnsi"/>
          <w:sz w:val="28"/>
          <w:szCs w:val="28"/>
        </w:rPr>
        <w:t xml:space="preserve">роботу закладу щодо </w:t>
      </w:r>
      <w:r w:rsidRPr="00820984">
        <w:rPr>
          <w:sz w:val="28"/>
          <w:szCs w:val="28"/>
        </w:rPr>
        <w:t xml:space="preserve">забезпечення безперешкодного доступу осіб з обмеженими можливостями за </w:t>
      </w:r>
      <w:r w:rsidR="001D56A0" w:rsidRPr="00820984">
        <w:rPr>
          <w:sz w:val="28"/>
          <w:szCs w:val="28"/>
        </w:rPr>
        <w:t>формою, що додається.</w:t>
      </w:r>
    </w:p>
    <w:p w:rsidR="00F554AB" w:rsidRPr="00820984" w:rsidRDefault="0015768A" w:rsidP="001D56A0">
      <w:pPr>
        <w:pStyle w:val="1"/>
        <w:ind w:left="0"/>
        <w:jc w:val="both"/>
        <w:rPr>
          <w:rFonts w:eastAsiaTheme="minorHAnsi"/>
        </w:rPr>
      </w:pPr>
      <w:r w:rsidRPr="00820984">
        <w:rPr>
          <w:rFonts w:eastAsiaTheme="minorHAnsi"/>
        </w:rPr>
        <w:t xml:space="preserve">    </w:t>
      </w:r>
      <w:r w:rsidR="00820984">
        <w:rPr>
          <w:rFonts w:eastAsiaTheme="minorHAnsi"/>
        </w:rPr>
        <w:tab/>
      </w:r>
      <w:r w:rsidR="001D56A0" w:rsidRPr="00820984">
        <w:rPr>
          <w:rFonts w:eastAsiaTheme="minorHAnsi"/>
        </w:rPr>
        <w:t>І</w:t>
      </w:r>
      <w:r w:rsidR="00F554AB" w:rsidRPr="00820984">
        <w:rPr>
          <w:rFonts w:eastAsiaTheme="minorHAnsi"/>
        </w:rPr>
        <w:t xml:space="preserve">нформацію та </w:t>
      </w:r>
      <w:r w:rsidR="001D56A0" w:rsidRPr="00820984">
        <w:rPr>
          <w:rFonts w:eastAsiaTheme="minorHAnsi"/>
        </w:rPr>
        <w:t>відповідні</w:t>
      </w:r>
      <w:r w:rsidR="00F554AB" w:rsidRPr="00820984">
        <w:rPr>
          <w:rFonts w:eastAsiaTheme="minorHAnsi"/>
        </w:rPr>
        <w:t xml:space="preserve"> </w:t>
      </w:r>
      <w:r w:rsidR="001D56A0" w:rsidRPr="00820984">
        <w:rPr>
          <w:rFonts w:eastAsiaTheme="minorHAnsi"/>
        </w:rPr>
        <w:t>документи (програми обладнання, план-схеми доступу,</w:t>
      </w:r>
      <w:r w:rsidR="00820984" w:rsidRPr="00820984">
        <w:rPr>
          <w:rFonts w:eastAsiaTheme="minorHAnsi"/>
        </w:rPr>
        <w:t xml:space="preserve"> фотографії  входу до школи, кімнати прийому, їдальні,</w:t>
      </w:r>
      <w:r w:rsidR="00820984">
        <w:rPr>
          <w:rFonts w:eastAsiaTheme="minorHAnsi"/>
        </w:rPr>
        <w:t xml:space="preserve"> </w:t>
      </w:r>
      <w:r w:rsidR="00820984" w:rsidRPr="00820984">
        <w:rPr>
          <w:rFonts w:eastAsiaTheme="minorHAnsi"/>
        </w:rPr>
        <w:t>вбиральні та інших приміщень першого поверху)</w:t>
      </w:r>
      <w:r w:rsidR="002530EE" w:rsidRPr="00820984">
        <w:rPr>
          <w:rFonts w:eastAsiaTheme="minorHAnsi"/>
        </w:rPr>
        <w:t xml:space="preserve"> надати до управління освіти (каб.93, Почин</w:t>
      </w:r>
      <w:r w:rsidR="005D7028" w:rsidRPr="00820984">
        <w:rPr>
          <w:rFonts w:eastAsiaTheme="minorHAnsi"/>
        </w:rPr>
        <w:t>о</w:t>
      </w:r>
      <w:r w:rsidR="002530EE" w:rsidRPr="00820984">
        <w:rPr>
          <w:rFonts w:eastAsiaTheme="minorHAnsi"/>
        </w:rPr>
        <w:t xml:space="preserve">к А.І.) та  </w:t>
      </w:r>
      <w:r w:rsidR="00F554AB" w:rsidRPr="00820984">
        <w:rPr>
          <w:rFonts w:eastAsiaTheme="minorHAnsi"/>
        </w:rPr>
        <w:t xml:space="preserve">надіслати на електронну адресу </w:t>
      </w:r>
      <w:hyperlink r:id="rId8" w:history="1">
        <w:r w:rsidR="002530EE" w:rsidRPr="00820984">
          <w:rPr>
            <w:rStyle w:val="a3"/>
            <w:rFonts w:eastAsiaTheme="minorHAnsi"/>
          </w:rPr>
          <w:t>pochynok.gscv@gmail.com</w:t>
        </w:r>
      </w:hyperlink>
      <w:r w:rsidR="002530EE" w:rsidRPr="00820984">
        <w:rPr>
          <w:rFonts w:eastAsiaTheme="minorHAnsi"/>
        </w:rPr>
        <w:t xml:space="preserve"> </w:t>
      </w:r>
      <w:r w:rsidR="00C74BC8" w:rsidRPr="00820984">
        <w:rPr>
          <w:rFonts w:eastAsiaTheme="minorHAnsi"/>
          <w:b/>
        </w:rPr>
        <w:t>до</w:t>
      </w:r>
      <w:r w:rsidR="00C74BC8" w:rsidRPr="00820984">
        <w:rPr>
          <w:rFonts w:eastAsiaTheme="minorHAnsi"/>
        </w:rPr>
        <w:t xml:space="preserve"> </w:t>
      </w:r>
      <w:r w:rsidR="0067703C">
        <w:rPr>
          <w:rFonts w:eastAsiaTheme="minorHAnsi"/>
          <w:b/>
        </w:rPr>
        <w:t>24</w:t>
      </w:r>
      <w:r w:rsidR="00C74BC8" w:rsidRPr="00820984">
        <w:rPr>
          <w:rFonts w:eastAsiaTheme="minorHAnsi"/>
          <w:b/>
        </w:rPr>
        <w:t>.11</w:t>
      </w:r>
      <w:r w:rsidR="005D7028" w:rsidRPr="00820984">
        <w:rPr>
          <w:rFonts w:eastAsiaTheme="minorHAnsi"/>
          <w:b/>
        </w:rPr>
        <w:t>.2017 р.</w:t>
      </w:r>
    </w:p>
    <w:p w:rsidR="00F554AB" w:rsidRPr="00820984" w:rsidRDefault="00F554AB" w:rsidP="00F55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p w:rsidR="00F554AB" w:rsidRPr="00820984" w:rsidRDefault="00F554AB" w:rsidP="00F55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p w:rsidR="00F554AB" w:rsidRPr="00820984" w:rsidRDefault="0015768A" w:rsidP="00F55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20984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  </w:t>
      </w:r>
      <w:r w:rsidRPr="008209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Додаток: на  </w:t>
      </w:r>
      <w:r w:rsidR="0067703C"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bookmarkStart w:id="0" w:name="_GoBack"/>
      <w:bookmarkEnd w:id="0"/>
      <w:r w:rsidR="004D0609" w:rsidRPr="008209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арк.</w:t>
      </w:r>
      <w:r w:rsidRPr="0082098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в 1 прим.</w:t>
      </w:r>
    </w:p>
    <w:p w:rsidR="00F554AB" w:rsidRPr="00820984" w:rsidRDefault="00F554AB" w:rsidP="00F55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p w:rsidR="00F554AB" w:rsidRPr="00820984" w:rsidRDefault="00F554AB" w:rsidP="00F55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p w:rsidR="00F554AB" w:rsidRPr="00820984" w:rsidRDefault="00F554AB" w:rsidP="00F55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p w:rsidR="00F554AB" w:rsidRPr="00820984" w:rsidRDefault="00F554AB" w:rsidP="00F554A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p w:rsidR="00F554AB" w:rsidRPr="00820984" w:rsidRDefault="00F554AB" w:rsidP="00F554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54AB" w:rsidRPr="00820984" w:rsidRDefault="00F554AB" w:rsidP="00F554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0984">
        <w:rPr>
          <w:rFonts w:ascii="Times New Roman" w:hAnsi="Times New Roman"/>
          <w:b/>
          <w:sz w:val="28"/>
          <w:szCs w:val="28"/>
        </w:rPr>
        <w:t>Начальник управління освіти</w:t>
      </w:r>
    </w:p>
    <w:p w:rsidR="00F554AB" w:rsidRPr="00820984" w:rsidRDefault="00F554AB" w:rsidP="00F554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0984">
        <w:rPr>
          <w:rFonts w:ascii="Times New Roman" w:hAnsi="Times New Roman"/>
          <w:b/>
          <w:sz w:val="28"/>
          <w:szCs w:val="28"/>
        </w:rPr>
        <w:t>Чернівецької міської ради</w:t>
      </w:r>
      <w:r w:rsidRPr="00820984">
        <w:rPr>
          <w:rFonts w:ascii="Times New Roman" w:hAnsi="Times New Roman"/>
          <w:b/>
          <w:sz w:val="28"/>
          <w:szCs w:val="28"/>
        </w:rPr>
        <w:tab/>
      </w:r>
      <w:r w:rsidRPr="00820984">
        <w:rPr>
          <w:rFonts w:ascii="Times New Roman" w:hAnsi="Times New Roman"/>
          <w:b/>
          <w:sz w:val="28"/>
          <w:szCs w:val="28"/>
        </w:rPr>
        <w:tab/>
      </w:r>
      <w:r w:rsidRPr="00820984">
        <w:rPr>
          <w:rFonts w:ascii="Times New Roman" w:hAnsi="Times New Roman"/>
          <w:b/>
          <w:sz w:val="28"/>
          <w:szCs w:val="28"/>
        </w:rPr>
        <w:tab/>
      </w:r>
      <w:r w:rsidRPr="00820984">
        <w:rPr>
          <w:rFonts w:ascii="Times New Roman" w:hAnsi="Times New Roman"/>
          <w:b/>
          <w:sz w:val="28"/>
          <w:szCs w:val="28"/>
        </w:rPr>
        <w:tab/>
      </w:r>
      <w:r w:rsidRPr="00820984">
        <w:rPr>
          <w:rFonts w:ascii="Times New Roman" w:hAnsi="Times New Roman"/>
          <w:b/>
          <w:sz w:val="28"/>
          <w:szCs w:val="28"/>
        </w:rPr>
        <w:tab/>
      </w:r>
      <w:r w:rsidRPr="00820984">
        <w:rPr>
          <w:rFonts w:ascii="Times New Roman" w:hAnsi="Times New Roman"/>
          <w:b/>
          <w:sz w:val="28"/>
          <w:szCs w:val="28"/>
        </w:rPr>
        <w:tab/>
        <w:t>С.В.Мартинюк</w:t>
      </w:r>
    </w:p>
    <w:p w:rsidR="00F554AB" w:rsidRPr="00820984" w:rsidRDefault="00F554AB" w:rsidP="00F55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4AB" w:rsidRPr="00820984" w:rsidRDefault="00F554AB" w:rsidP="00F554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0984">
        <w:rPr>
          <w:rFonts w:ascii="Times New Roman" w:hAnsi="Times New Roman"/>
          <w:sz w:val="20"/>
          <w:szCs w:val="20"/>
        </w:rPr>
        <w:t>Починок А.І.,</w:t>
      </w:r>
    </w:p>
    <w:p w:rsidR="00F554AB" w:rsidRPr="00820984" w:rsidRDefault="00F554AB" w:rsidP="00F554A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0984">
        <w:rPr>
          <w:rFonts w:ascii="Times New Roman" w:hAnsi="Times New Roman"/>
          <w:sz w:val="20"/>
          <w:szCs w:val="20"/>
        </w:rPr>
        <w:t>53-28-72</w:t>
      </w:r>
    </w:p>
    <w:p w:rsidR="00F554AB" w:rsidRPr="00820984" w:rsidRDefault="00F554AB" w:rsidP="00F55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4AB" w:rsidRPr="00820984" w:rsidRDefault="00F554AB" w:rsidP="00F55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4AB" w:rsidRDefault="00F554AB" w:rsidP="00F55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065" w:rsidRDefault="00631065" w:rsidP="00F55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065" w:rsidRDefault="00631065" w:rsidP="00631065">
      <w:pPr>
        <w:jc w:val="center"/>
        <w:rPr>
          <w:b/>
        </w:rPr>
        <w:sectPr w:rsidR="00631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065" w:rsidRPr="00631065" w:rsidRDefault="00631065" w:rsidP="00631065">
      <w:pPr>
        <w:jc w:val="center"/>
        <w:rPr>
          <w:rFonts w:ascii="Times New Roman" w:hAnsi="Times New Roman"/>
          <w:b/>
        </w:rPr>
      </w:pPr>
      <w:r w:rsidRPr="00631065">
        <w:rPr>
          <w:rFonts w:ascii="Times New Roman" w:hAnsi="Times New Roman"/>
          <w:b/>
        </w:rPr>
        <w:lastRenderedPageBreak/>
        <w:t>АРХІТЕКТУРНА ДОСТУПНІСТЬ ШКІЛ</w:t>
      </w:r>
    </w:p>
    <w:tbl>
      <w:tblPr>
        <w:tblW w:w="14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5368"/>
        <w:gridCol w:w="5637"/>
      </w:tblGrid>
      <w:tr w:rsidR="00631065" w:rsidRPr="00631065" w:rsidTr="002A181A">
        <w:trPr>
          <w:jc w:val="center"/>
        </w:trPr>
        <w:tc>
          <w:tcPr>
            <w:tcW w:w="3782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Навчальний заклад</w:t>
            </w:r>
          </w:p>
        </w:tc>
        <w:tc>
          <w:tcPr>
            <w:tcW w:w="11005" w:type="dxa"/>
            <w:gridSpan w:val="2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065" w:rsidRPr="00631065" w:rsidTr="002A181A">
        <w:trPr>
          <w:jc w:val="center"/>
        </w:trPr>
        <w:tc>
          <w:tcPr>
            <w:tcW w:w="3782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Прилегла територія</w:t>
            </w:r>
          </w:p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  <w:sz w:val="20"/>
              </w:rPr>
              <w:t>(відповідність вимогам ДБН 360, ДБН Б.2.4-1, ВСН 01., ДБН В.».2-17:2006)</w:t>
            </w:r>
          </w:p>
        </w:tc>
        <w:tc>
          <w:tcPr>
            <w:tcW w:w="5368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Так/ні/частково + текстовий опис</w:t>
            </w:r>
          </w:p>
        </w:tc>
        <w:tc>
          <w:tcPr>
            <w:tcW w:w="5637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065" w:rsidRPr="00631065" w:rsidTr="002A181A">
        <w:trPr>
          <w:jc w:val="center"/>
        </w:trPr>
        <w:tc>
          <w:tcPr>
            <w:tcW w:w="3782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 xml:space="preserve">Наявність зони для висадки учнів/пасажирів з ОФМ </w:t>
            </w:r>
          </w:p>
        </w:tc>
        <w:tc>
          <w:tcPr>
            <w:tcW w:w="5368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Так/</w:t>
            </w:r>
            <w:proofErr w:type="spellStart"/>
            <w:r w:rsidRPr="00631065">
              <w:rPr>
                <w:rFonts w:ascii="Times New Roman" w:hAnsi="Times New Roman"/>
              </w:rPr>
              <w:t>ні+</w:t>
            </w:r>
            <w:proofErr w:type="spellEnd"/>
            <w:r w:rsidRPr="00631065">
              <w:rPr>
                <w:rFonts w:ascii="Times New Roman" w:hAnsi="Times New Roman"/>
              </w:rPr>
              <w:t xml:space="preserve"> текстовий опис</w:t>
            </w:r>
          </w:p>
        </w:tc>
        <w:tc>
          <w:tcPr>
            <w:tcW w:w="5637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065" w:rsidRPr="00631065" w:rsidTr="002A181A">
        <w:trPr>
          <w:jc w:val="center"/>
        </w:trPr>
        <w:tc>
          <w:tcPr>
            <w:tcW w:w="3782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Наявність місця для паркування транспорту</w:t>
            </w:r>
          </w:p>
        </w:tc>
        <w:tc>
          <w:tcPr>
            <w:tcW w:w="5368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Так/</w:t>
            </w:r>
            <w:proofErr w:type="spellStart"/>
            <w:r w:rsidRPr="00631065">
              <w:rPr>
                <w:rFonts w:ascii="Times New Roman" w:hAnsi="Times New Roman"/>
              </w:rPr>
              <w:t>ні+</w:t>
            </w:r>
            <w:proofErr w:type="spellEnd"/>
            <w:r w:rsidRPr="00631065">
              <w:rPr>
                <w:rFonts w:ascii="Times New Roman" w:hAnsi="Times New Roman"/>
              </w:rPr>
              <w:t xml:space="preserve"> текстовий опис</w:t>
            </w:r>
          </w:p>
        </w:tc>
        <w:tc>
          <w:tcPr>
            <w:tcW w:w="5637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065" w:rsidRPr="00631065" w:rsidTr="002A181A">
        <w:trPr>
          <w:jc w:val="center"/>
        </w:trPr>
        <w:tc>
          <w:tcPr>
            <w:tcW w:w="3782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Наявність похилого з’їзду</w:t>
            </w:r>
          </w:p>
        </w:tc>
        <w:tc>
          <w:tcPr>
            <w:tcW w:w="5368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Так/</w:t>
            </w:r>
            <w:proofErr w:type="spellStart"/>
            <w:r w:rsidRPr="00631065">
              <w:rPr>
                <w:rFonts w:ascii="Times New Roman" w:hAnsi="Times New Roman"/>
              </w:rPr>
              <w:t>ні+</w:t>
            </w:r>
            <w:proofErr w:type="spellEnd"/>
            <w:r w:rsidRPr="00631065">
              <w:rPr>
                <w:rFonts w:ascii="Times New Roman" w:hAnsi="Times New Roman"/>
              </w:rPr>
              <w:t xml:space="preserve"> текстовий опис</w:t>
            </w:r>
          </w:p>
        </w:tc>
        <w:tc>
          <w:tcPr>
            <w:tcW w:w="5637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065" w:rsidRPr="00631065" w:rsidTr="002A181A">
        <w:trPr>
          <w:jc w:val="center"/>
        </w:trPr>
        <w:tc>
          <w:tcPr>
            <w:tcW w:w="3782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Наявність пандуса (</w:t>
            </w:r>
            <w:proofErr w:type="spellStart"/>
            <w:r w:rsidRPr="00631065">
              <w:rPr>
                <w:rFonts w:ascii="Times New Roman" w:hAnsi="Times New Roman"/>
              </w:rPr>
              <w:t>ів</w:t>
            </w:r>
            <w:proofErr w:type="spellEnd"/>
            <w:r w:rsidRPr="00631065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Так/ні</w:t>
            </w:r>
          </w:p>
        </w:tc>
        <w:tc>
          <w:tcPr>
            <w:tcW w:w="5637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065" w:rsidRPr="00631065" w:rsidTr="002A181A">
        <w:trPr>
          <w:jc w:val="center"/>
        </w:trPr>
        <w:tc>
          <w:tcPr>
            <w:tcW w:w="3782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Наявність  кнопки виклику</w:t>
            </w:r>
          </w:p>
        </w:tc>
        <w:tc>
          <w:tcPr>
            <w:tcW w:w="5368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Так/ні</w:t>
            </w:r>
          </w:p>
        </w:tc>
        <w:tc>
          <w:tcPr>
            <w:tcW w:w="5637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065" w:rsidRPr="00631065" w:rsidTr="002A181A">
        <w:trPr>
          <w:jc w:val="center"/>
        </w:trPr>
        <w:tc>
          <w:tcPr>
            <w:tcW w:w="3782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Відповідність пандуса (</w:t>
            </w:r>
            <w:proofErr w:type="spellStart"/>
            <w:r w:rsidRPr="00631065">
              <w:rPr>
                <w:rFonts w:ascii="Times New Roman" w:hAnsi="Times New Roman"/>
              </w:rPr>
              <w:t>ів</w:t>
            </w:r>
            <w:proofErr w:type="spellEnd"/>
            <w:r w:rsidRPr="00631065">
              <w:rPr>
                <w:rFonts w:ascii="Times New Roman" w:hAnsi="Times New Roman"/>
              </w:rPr>
              <w:t>)</w:t>
            </w:r>
          </w:p>
        </w:tc>
        <w:tc>
          <w:tcPr>
            <w:tcW w:w="5368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Так/ні/частково + текстовий опис</w:t>
            </w:r>
          </w:p>
        </w:tc>
        <w:tc>
          <w:tcPr>
            <w:tcW w:w="5637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 xml:space="preserve">Бажаний нахил пандуса - 4–5% (1:20) </w:t>
            </w:r>
          </w:p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 xml:space="preserve">Максимально прийнятний кут нахилу - 8% (1:12) </w:t>
            </w:r>
          </w:p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Небезпечний  12% (1:8)</w:t>
            </w:r>
          </w:p>
        </w:tc>
      </w:tr>
      <w:tr w:rsidR="00631065" w:rsidRPr="00631065" w:rsidTr="002A181A">
        <w:trPr>
          <w:jc w:val="center"/>
        </w:trPr>
        <w:tc>
          <w:tcPr>
            <w:tcW w:w="3782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Відповідність вхідних дверей</w:t>
            </w:r>
          </w:p>
          <w:p w:rsidR="00631065" w:rsidRPr="00631065" w:rsidRDefault="00631065" w:rsidP="002A181A">
            <w:pPr>
              <w:pStyle w:val="a7"/>
              <w:numPr>
                <w:ilvl w:val="0"/>
                <w:numId w:val="2"/>
              </w:numPr>
            </w:pPr>
            <w:r w:rsidRPr="00631065">
              <w:t xml:space="preserve">тип дверей </w:t>
            </w:r>
            <w:r w:rsidRPr="00631065">
              <w:rPr>
                <w:sz w:val="18"/>
              </w:rPr>
              <w:t>(автоматизовані/неавтоматизовані)</w:t>
            </w:r>
          </w:p>
        </w:tc>
        <w:tc>
          <w:tcPr>
            <w:tcW w:w="5368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Так/ні/частково + текстовий опис</w:t>
            </w:r>
          </w:p>
        </w:tc>
        <w:tc>
          <w:tcPr>
            <w:tcW w:w="5637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065" w:rsidRPr="00631065" w:rsidTr="002A181A">
        <w:trPr>
          <w:jc w:val="center"/>
        </w:trPr>
        <w:tc>
          <w:tcPr>
            <w:tcW w:w="3782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Відповідність сходів, перил</w:t>
            </w:r>
          </w:p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8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Так/ні/частково + текстовий опис</w:t>
            </w:r>
          </w:p>
        </w:tc>
        <w:tc>
          <w:tcPr>
            <w:tcW w:w="5637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065" w:rsidRPr="00631065" w:rsidTr="002A181A">
        <w:trPr>
          <w:jc w:val="center"/>
        </w:trPr>
        <w:tc>
          <w:tcPr>
            <w:tcW w:w="3782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Відповідність туалетної кімнати</w:t>
            </w:r>
          </w:p>
        </w:tc>
        <w:tc>
          <w:tcPr>
            <w:tcW w:w="5368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Так/ні/частково + текстовий опис</w:t>
            </w:r>
          </w:p>
        </w:tc>
        <w:tc>
          <w:tcPr>
            <w:tcW w:w="5637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1065" w:rsidRPr="00631065" w:rsidTr="002A181A">
        <w:trPr>
          <w:jc w:val="center"/>
        </w:trPr>
        <w:tc>
          <w:tcPr>
            <w:tcW w:w="3782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Доступність навчальних аудиторій та приміщень загального користування (коридори, їдальня)</w:t>
            </w:r>
          </w:p>
        </w:tc>
        <w:tc>
          <w:tcPr>
            <w:tcW w:w="5368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  <w:r w:rsidRPr="00631065">
              <w:rPr>
                <w:rFonts w:ascii="Times New Roman" w:hAnsi="Times New Roman"/>
              </w:rPr>
              <w:t>Так/ні/частково + текстовий опис</w:t>
            </w:r>
          </w:p>
        </w:tc>
        <w:tc>
          <w:tcPr>
            <w:tcW w:w="5637" w:type="dxa"/>
          </w:tcPr>
          <w:p w:rsidR="00631065" w:rsidRPr="00631065" w:rsidRDefault="00631065" w:rsidP="002A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1065" w:rsidRPr="00631065" w:rsidRDefault="00631065" w:rsidP="00631065">
      <w:pPr>
        <w:rPr>
          <w:rFonts w:ascii="Times New Roman" w:hAnsi="Times New Roman"/>
        </w:rPr>
      </w:pPr>
    </w:p>
    <w:p w:rsidR="00631065" w:rsidRDefault="00631065" w:rsidP="00F55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9AB" w:rsidRDefault="006729AB" w:rsidP="00F55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9AB" w:rsidRDefault="006729AB" w:rsidP="00F55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9AB" w:rsidRDefault="006729AB" w:rsidP="00F55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9AB" w:rsidRDefault="006729AB" w:rsidP="00F55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9AB" w:rsidRDefault="006729AB" w:rsidP="00F55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9AB" w:rsidRDefault="006729AB" w:rsidP="00F554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9AB" w:rsidRDefault="006729AB" w:rsidP="006729AB">
      <w:pPr>
        <w:pStyle w:val="SingleTxtGR"/>
        <w:tabs>
          <w:tab w:val="clear" w:pos="1701"/>
          <w:tab w:val="left" w:pos="700"/>
        </w:tabs>
        <w:spacing w:after="0" w:line="240" w:lineRule="auto"/>
        <w:ind w:left="0" w:right="0"/>
        <w:rPr>
          <w:sz w:val="28"/>
          <w:szCs w:val="28"/>
          <w:lang w:val="uk-UA"/>
        </w:rPr>
        <w:sectPr w:rsidR="006729AB" w:rsidSect="006729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29AB" w:rsidRPr="00337D52" w:rsidRDefault="006729AB" w:rsidP="006729AB">
      <w:pPr>
        <w:pStyle w:val="SingleTxtGR"/>
        <w:tabs>
          <w:tab w:val="clear" w:pos="1701"/>
          <w:tab w:val="left" w:pos="700"/>
        </w:tabs>
        <w:spacing w:after="0" w:line="240" w:lineRule="auto"/>
        <w:ind w:left="0" w:right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Pr="00337D52">
        <w:rPr>
          <w:b/>
          <w:sz w:val="28"/>
          <w:szCs w:val="28"/>
          <w:lang w:val="uk-UA"/>
        </w:rPr>
        <w:t>Вимоги щодо архітектурної доступності навчальних закладів</w:t>
      </w:r>
    </w:p>
    <w:p w:rsidR="006729AB" w:rsidRPr="00337D52" w:rsidRDefault="006729AB" w:rsidP="006729AB">
      <w:pPr>
        <w:pStyle w:val="SingleTxtGR"/>
        <w:tabs>
          <w:tab w:val="clear" w:pos="1701"/>
          <w:tab w:val="left" w:pos="700"/>
        </w:tabs>
        <w:spacing w:after="0" w:line="240" w:lineRule="auto"/>
        <w:ind w:left="0" w:righ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Вимоги щодо архітектурної доступності навчальних закладів визначено </w:t>
      </w:r>
      <w:r>
        <w:rPr>
          <w:color w:val="000000"/>
          <w:sz w:val="28"/>
          <w:szCs w:val="28"/>
          <w:lang w:val="uk-UA" w:eastAsia="uk-UA"/>
        </w:rPr>
        <w:t xml:space="preserve">Державними будівельними нормами В.2.2-17:2006 «Доступність будинків і споруд для </w:t>
      </w:r>
      <w:proofErr w:type="spellStart"/>
      <w:r>
        <w:rPr>
          <w:color w:val="000000"/>
          <w:sz w:val="28"/>
          <w:szCs w:val="28"/>
          <w:lang w:val="uk-UA" w:eastAsia="uk-UA"/>
        </w:rPr>
        <w:t>маломобільних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груп населення», затвердженими </w:t>
      </w:r>
      <w:r w:rsidRPr="00572F55">
        <w:rPr>
          <w:color w:val="000000"/>
          <w:sz w:val="28"/>
          <w:szCs w:val="28"/>
          <w:lang w:val="uk-UA"/>
        </w:rPr>
        <w:t>наказом Мін</w:t>
      </w:r>
      <w:r>
        <w:rPr>
          <w:color w:val="000000"/>
          <w:sz w:val="28"/>
          <w:szCs w:val="28"/>
          <w:lang w:val="uk-UA"/>
        </w:rPr>
        <w:t>істерства регіонального розвитку, будівництва та житлово-комунального господарства України</w:t>
      </w:r>
      <w:r w:rsidRPr="00572F55">
        <w:rPr>
          <w:color w:val="000000"/>
          <w:sz w:val="28"/>
          <w:szCs w:val="28"/>
          <w:lang w:val="uk-UA"/>
        </w:rPr>
        <w:t xml:space="preserve"> від </w:t>
      </w:r>
      <w:r w:rsidRPr="00B25270">
        <w:rPr>
          <w:color w:val="000000"/>
          <w:sz w:val="28"/>
          <w:szCs w:val="28"/>
          <w:lang w:val="uk-UA"/>
        </w:rPr>
        <w:t>02.11.2006</w:t>
      </w:r>
      <w:r w:rsidRPr="00572F55">
        <w:rPr>
          <w:color w:val="000000"/>
          <w:sz w:val="28"/>
          <w:szCs w:val="28"/>
          <w:lang w:val="uk-UA"/>
        </w:rPr>
        <w:t xml:space="preserve"> </w:t>
      </w:r>
      <w:r w:rsidRPr="00B25270">
        <w:rPr>
          <w:color w:val="000000"/>
          <w:sz w:val="28"/>
          <w:szCs w:val="28"/>
          <w:lang w:val="uk-UA"/>
        </w:rPr>
        <w:t>№ 362</w:t>
      </w:r>
      <w:r>
        <w:rPr>
          <w:color w:val="000000"/>
          <w:sz w:val="28"/>
          <w:szCs w:val="28"/>
          <w:lang w:val="uk-UA"/>
        </w:rPr>
        <w:t xml:space="preserve"> (далі – ДБН).</w:t>
      </w:r>
    </w:p>
    <w:p w:rsidR="006729AB" w:rsidRDefault="006729AB" w:rsidP="006729AB">
      <w:pPr>
        <w:pStyle w:val="SingleTxtGR"/>
        <w:tabs>
          <w:tab w:val="clear" w:pos="1701"/>
          <w:tab w:val="left" w:pos="700"/>
        </w:tabs>
        <w:spacing w:after="0" w:line="240" w:lineRule="auto"/>
        <w:ind w:left="0" w:right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ab/>
      </w:r>
      <w:r w:rsidRPr="00B25270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У 2010 році було внесено доповнення до ДБН В.2.2-3-97 «Будинки і споруди навчальних закладів», які стосувалися вимог щодо забезпечення умов для організації інклюзивного навчання дітей з особливими освітніми потребами у загальноосвітніх школах, встановлені загальні положення щодо проектування таких навчальних закладів, застосування в них спеціальних пристроїв.</w:t>
      </w:r>
    </w:p>
    <w:p w:rsidR="006729AB" w:rsidRDefault="006729AB" w:rsidP="006729AB">
      <w:pPr>
        <w:pStyle w:val="SingleTxtGR"/>
        <w:tabs>
          <w:tab w:val="clear" w:pos="1701"/>
          <w:tab w:val="left" w:pos="700"/>
        </w:tabs>
        <w:spacing w:after="0" w:line="240" w:lineRule="auto"/>
        <w:ind w:left="0" w:right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  <w:t xml:space="preserve">Критерій доступності навчального закладу визначає вимоги щодо: </w:t>
      </w:r>
    </w:p>
    <w:p w:rsidR="006729AB" w:rsidRDefault="006729AB" w:rsidP="006729AB">
      <w:pPr>
        <w:pStyle w:val="SingleTxtGR"/>
        <w:tabs>
          <w:tab w:val="clear" w:pos="1701"/>
        </w:tabs>
        <w:spacing w:after="0" w:line="240" w:lineRule="auto"/>
        <w:ind w:left="142" w:right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- </w:t>
      </w:r>
      <w:r w:rsidRPr="000E117A">
        <w:rPr>
          <w:color w:val="000000"/>
          <w:sz w:val="28"/>
          <w:szCs w:val="28"/>
          <w:lang w:eastAsia="uk-UA"/>
        </w:rPr>
        <w:t xml:space="preserve">  </w:t>
      </w:r>
      <w:r>
        <w:rPr>
          <w:color w:val="000000"/>
          <w:sz w:val="28"/>
          <w:szCs w:val="28"/>
          <w:lang w:val="uk-UA" w:eastAsia="uk-UA"/>
        </w:rPr>
        <w:t>доступності прилеглої території до будівлі навчального закладу;</w:t>
      </w:r>
    </w:p>
    <w:p w:rsidR="006729AB" w:rsidRDefault="006729AB" w:rsidP="006729AB">
      <w:pPr>
        <w:pStyle w:val="SingleTxtGR"/>
        <w:tabs>
          <w:tab w:val="clear" w:pos="1701"/>
          <w:tab w:val="clear" w:pos="2268"/>
          <w:tab w:val="left" w:pos="142"/>
        </w:tabs>
        <w:spacing w:after="0" w:line="240" w:lineRule="auto"/>
        <w:ind w:left="360" w:right="0"/>
        <w:jc w:val="left"/>
        <w:rPr>
          <w:color w:val="000000"/>
          <w:sz w:val="28"/>
          <w:szCs w:val="28"/>
          <w:lang w:val="uk-UA" w:eastAsia="uk-UA"/>
        </w:rPr>
      </w:pPr>
      <w:r w:rsidRPr="000E117A">
        <w:rPr>
          <w:color w:val="000000"/>
          <w:sz w:val="28"/>
          <w:szCs w:val="28"/>
          <w:lang w:eastAsia="uk-UA"/>
        </w:rPr>
        <w:t xml:space="preserve">-   </w:t>
      </w:r>
      <w:proofErr w:type="spellStart"/>
      <w:r>
        <w:rPr>
          <w:color w:val="000000"/>
          <w:sz w:val="28"/>
          <w:szCs w:val="28"/>
          <w:lang w:val="uk-UA" w:eastAsia="uk-UA"/>
        </w:rPr>
        <w:t>безбар</w:t>
      </w:r>
      <w:proofErr w:type="spellEnd"/>
      <w:r w:rsidRPr="00F82DBF">
        <w:rPr>
          <w:color w:val="000000"/>
          <w:sz w:val="28"/>
          <w:szCs w:val="28"/>
          <w:lang w:eastAsia="uk-UA"/>
        </w:rPr>
        <w:t>’</w:t>
      </w:r>
      <w:proofErr w:type="spellStart"/>
      <w:r>
        <w:rPr>
          <w:color w:val="000000"/>
          <w:sz w:val="28"/>
          <w:szCs w:val="28"/>
          <w:lang w:val="uk-UA" w:eastAsia="uk-UA"/>
        </w:rPr>
        <w:t>єрного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входу та безперешкодного руху </w:t>
      </w:r>
      <w:proofErr w:type="gramStart"/>
      <w:r>
        <w:rPr>
          <w:color w:val="000000"/>
          <w:sz w:val="28"/>
          <w:szCs w:val="28"/>
          <w:lang w:val="uk-UA" w:eastAsia="uk-UA"/>
        </w:rPr>
        <w:t>в</w:t>
      </w:r>
      <w:proofErr w:type="gramEnd"/>
      <w:r>
        <w:rPr>
          <w:color w:val="000000"/>
          <w:sz w:val="28"/>
          <w:szCs w:val="28"/>
          <w:lang w:val="uk-UA" w:eastAsia="uk-UA"/>
        </w:rPr>
        <w:t xml:space="preserve"> приміщеннях; </w:t>
      </w:r>
    </w:p>
    <w:p w:rsidR="006729AB" w:rsidRDefault="006729AB" w:rsidP="006729AB">
      <w:pPr>
        <w:pStyle w:val="SingleTxtGR"/>
        <w:numPr>
          <w:ilvl w:val="0"/>
          <w:numId w:val="3"/>
        </w:numPr>
        <w:tabs>
          <w:tab w:val="clear" w:pos="1701"/>
          <w:tab w:val="left" w:pos="700"/>
        </w:tabs>
        <w:spacing w:after="0" w:line="240" w:lineRule="auto"/>
        <w:ind w:right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доступності до дверних і відкритих прорізів;</w:t>
      </w:r>
    </w:p>
    <w:p w:rsidR="006729AB" w:rsidRDefault="006729AB" w:rsidP="006729AB">
      <w:pPr>
        <w:pStyle w:val="SingleTxtGR"/>
        <w:numPr>
          <w:ilvl w:val="0"/>
          <w:numId w:val="3"/>
        </w:numPr>
        <w:tabs>
          <w:tab w:val="clear" w:pos="1701"/>
          <w:tab w:val="left" w:pos="709"/>
        </w:tabs>
        <w:spacing w:after="0" w:line="240" w:lineRule="auto"/>
        <w:ind w:right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пристосованості для використання санвузлів, місць відпочинку та усіх без винятку приміщень у закладі; </w:t>
      </w:r>
    </w:p>
    <w:p w:rsidR="006729AB" w:rsidRPr="001B4557" w:rsidRDefault="006729AB" w:rsidP="006729AB">
      <w:pPr>
        <w:pStyle w:val="SingleTxtGR"/>
        <w:tabs>
          <w:tab w:val="clear" w:pos="1701"/>
          <w:tab w:val="left" w:pos="700"/>
        </w:tabs>
        <w:spacing w:after="0" w:line="240" w:lineRule="auto"/>
        <w:ind w:left="0" w:right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Pr="001B4557">
        <w:rPr>
          <w:color w:val="000000"/>
          <w:sz w:val="28"/>
          <w:szCs w:val="28"/>
          <w:lang w:val="uk-UA" w:eastAsia="uk-UA"/>
        </w:rPr>
        <w:t xml:space="preserve">Керівник школи має обов’язково дбати про безпечне перебування </w:t>
      </w:r>
      <w:r>
        <w:rPr>
          <w:color w:val="000000"/>
          <w:sz w:val="28"/>
          <w:szCs w:val="28"/>
          <w:lang w:val="uk-UA" w:eastAsia="uk-UA"/>
        </w:rPr>
        <w:t xml:space="preserve">в ній </w:t>
      </w:r>
      <w:r w:rsidRPr="001B4557">
        <w:rPr>
          <w:color w:val="000000"/>
          <w:sz w:val="28"/>
          <w:szCs w:val="28"/>
          <w:lang w:val="uk-UA" w:eastAsia="uk-UA"/>
        </w:rPr>
        <w:t xml:space="preserve">дитини-інваліда, особливо під час відвідування нею майстерні, спортивної зали тощо, з метою запобігання </w:t>
      </w:r>
      <w:r>
        <w:rPr>
          <w:color w:val="000000"/>
          <w:sz w:val="28"/>
          <w:szCs w:val="28"/>
          <w:lang w:val="uk-UA" w:eastAsia="uk-UA"/>
        </w:rPr>
        <w:t xml:space="preserve">її </w:t>
      </w:r>
      <w:r w:rsidRPr="001B4557">
        <w:rPr>
          <w:color w:val="000000"/>
          <w:sz w:val="28"/>
          <w:szCs w:val="28"/>
          <w:lang w:val="uk-UA" w:eastAsia="uk-UA"/>
        </w:rPr>
        <w:t>травмування</w:t>
      </w:r>
      <w:r>
        <w:rPr>
          <w:color w:val="000000"/>
          <w:sz w:val="28"/>
          <w:szCs w:val="28"/>
          <w:lang w:val="uk-UA" w:eastAsia="uk-UA"/>
        </w:rPr>
        <w:t>.</w:t>
      </w:r>
      <w:r w:rsidRPr="001B4557">
        <w:rPr>
          <w:color w:val="000000"/>
          <w:sz w:val="28"/>
          <w:szCs w:val="28"/>
          <w:lang w:val="uk-UA" w:eastAsia="uk-UA"/>
        </w:rPr>
        <w:t xml:space="preserve"> </w:t>
      </w:r>
    </w:p>
    <w:p w:rsidR="006729AB" w:rsidRDefault="006729AB" w:rsidP="006729AB">
      <w:pPr>
        <w:pStyle w:val="SingleTxtGR"/>
        <w:tabs>
          <w:tab w:val="clear" w:pos="1701"/>
          <w:tab w:val="left" w:pos="700"/>
        </w:tabs>
        <w:spacing w:after="0" w:line="240" w:lineRule="auto"/>
        <w:ind w:left="0" w:right="0" w:firstLine="36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  <w:t>Для дитини, яка користується візком, також необхідно створити відповідні зручні умови для розміщення за партою.</w:t>
      </w:r>
    </w:p>
    <w:p w:rsidR="006729AB" w:rsidRDefault="006729AB" w:rsidP="006729AB">
      <w:pPr>
        <w:pStyle w:val="SingleTxtGR"/>
        <w:tabs>
          <w:tab w:val="clear" w:pos="1701"/>
          <w:tab w:val="left" w:pos="700"/>
        </w:tabs>
        <w:spacing w:after="0" w:line="240" w:lineRule="auto"/>
        <w:ind w:left="0" w:right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  <w:t>З метою створення безперешкодного доступу до будівлі та приміщень навчального закладу для дітей сліпих та глухих необхідно користуватися Державними будівельними нормами В.2.2-31:2011 «Будинки і споруди. Настанова з облаштування будинків і споруд цивільного призначення елементами доступності для осіб з вадами зору та слуху», якими  визначено вимоги щодо проектування та реконструкції будівель, у тому числі навчальних закладів, із забезпеченням до них доступності осіб з порушеннями зору, а також вимоги до інформаційного та інженерного обладнання приміщень для осіб з вадами слуху. Також, надаються настанови стосовно технічних вимог до застосування тактильних наземних та підлогових покажчиків у будинках і спорудах для осіб з вадами зору:</w:t>
      </w:r>
    </w:p>
    <w:p w:rsidR="006729AB" w:rsidRDefault="006729AB" w:rsidP="006729AB">
      <w:pPr>
        <w:pStyle w:val="SingleTxtGR"/>
        <w:tabs>
          <w:tab w:val="clear" w:pos="1701"/>
          <w:tab w:val="left" w:pos="709"/>
        </w:tabs>
        <w:spacing w:after="0" w:line="240" w:lineRule="auto"/>
        <w:ind w:left="0" w:right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  <w:t>для сліпих дітей у закладі передбачати систему тактильної та звукової інформації;</w:t>
      </w:r>
    </w:p>
    <w:p w:rsidR="006729AB" w:rsidRDefault="006729AB" w:rsidP="006729AB">
      <w:pPr>
        <w:pStyle w:val="SingleTxtGR"/>
        <w:tabs>
          <w:tab w:val="clear" w:pos="1701"/>
          <w:tab w:val="left" w:pos="709"/>
        </w:tabs>
        <w:spacing w:after="0" w:line="240" w:lineRule="auto"/>
        <w:ind w:left="0" w:right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  <w:t>для дітей глухих та з порушеннями слуху передбачати систему візуальної інформації.</w:t>
      </w:r>
    </w:p>
    <w:p w:rsidR="006729AB" w:rsidRDefault="006729AB" w:rsidP="006729AB">
      <w:pPr>
        <w:pStyle w:val="SingleTxtGR"/>
        <w:tabs>
          <w:tab w:val="clear" w:pos="1701"/>
          <w:tab w:val="left" w:pos="709"/>
        </w:tabs>
        <w:spacing w:after="0" w:line="240" w:lineRule="auto"/>
        <w:ind w:left="0" w:right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  <w:t>забезпечити необхідне тактильне (рельєфне) та візуальне (кольором) попередження на початку та    в кінці сходів;</w:t>
      </w:r>
    </w:p>
    <w:p w:rsidR="006729AB" w:rsidRDefault="006729AB" w:rsidP="006729AB">
      <w:pPr>
        <w:pStyle w:val="SingleTxtGR"/>
        <w:tabs>
          <w:tab w:val="clear" w:pos="1701"/>
          <w:tab w:val="left" w:pos="709"/>
        </w:tabs>
        <w:spacing w:after="0" w:line="240" w:lineRule="auto"/>
        <w:ind w:left="0" w:right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  <w:t>облаштувати поруччя по обидва боки сходових маршів;</w:t>
      </w:r>
    </w:p>
    <w:p w:rsidR="006729AB" w:rsidRPr="005A1EE5" w:rsidRDefault="006729AB" w:rsidP="006729AB">
      <w:pPr>
        <w:pStyle w:val="SingleTxtGR"/>
        <w:tabs>
          <w:tab w:val="clear" w:pos="1701"/>
          <w:tab w:val="left" w:pos="700"/>
        </w:tabs>
        <w:spacing w:after="0" w:line="240" w:lineRule="auto"/>
        <w:ind w:left="0" w:right="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ab/>
        <w:t>Обов</w:t>
      </w:r>
      <w:r w:rsidRPr="00E63CD0">
        <w:rPr>
          <w:color w:val="000000"/>
          <w:sz w:val="28"/>
          <w:szCs w:val="28"/>
          <w:lang w:val="uk-UA" w:eastAsia="uk-UA"/>
        </w:rPr>
        <w:t>’</w:t>
      </w:r>
      <w:r>
        <w:rPr>
          <w:color w:val="000000"/>
          <w:sz w:val="28"/>
          <w:szCs w:val="28"/>
          <w:lang w:val="uk-UA" w:eastAsia="uk-UA"/>
        </w:rPr>
        <w:t xml:space="preserve">язковим є прикріплення табличок для сліпих дітей з інформацією про призначення кімнати, її номер, тощо. Написи на </w:t>
      </w:r>
      <w:r>
        <w:rPr>
          <w:color w:val="000000"/>
          <w:sz w:val="28"/>
          <w:szCs w:val="28"/>
          <w:lang w:val="uk-UA" w:eastAsia="uk-UA"/>
        </w:rPr>
        <w:lastRenderedPageBreak/>
        <w:t xml:space="preserve">табличці наносяться шрифтом </w:t>
      </w:r>
      <w:proofErr w:type="spellStart"/>
      <w:r>
        <w:rPr>
          <w:color w:val="000000"/>
          <w:sz w:val="28"/>
          <w:szCs w:val="28"/>
          <w:lang w:val="uk-UA" w:eastAsia="uk-UA"/>
        </w:rPr>
        <w:t>Брайля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(рельєфні). Табличка розміщується на доступній дітям висоті, на дверній рамі або на стіні, збоку від дверей. На дверях, сходах повинні бути кольорові маркувальні смуги, написи «Вхід», «Вихід» для </w:t>
      </w:r>
      <w:proofErr w:type="spellStart"/>
      <w:r>
        <w:rPr>
          <w:color w:val="000000"/>
          <w:sz w:val="28"/>
          <w:szCs w:val="28"/>
          <w:lang w:val="uk-UA" w:eastAsia="uk-UA"/>
        </w:rPr>
        <w:t>слабозорих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дітей. </w:t>
      </w:r>
    </w:p>
    <w:p w:rsidR="006729AB" w:rsidRDefault="006729AB" w:rsidP="006729AB">
      <w:pPr>
        <w:pStyle w:val="SingleTxtGR"/>
        <w:tabs>
          <w:tab w:val="clear" w:pos="1701"/>
          <w:tab w:val="left" w:pos="700"/>
        </w:tabs>
        <w:spacing w:after="0" w:line="240" w:lineRule="auto"/>
        <w:ind w:left="0" w:right="0" w:firstLine="36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Необхідно також позначити фарбою іншого кольору (як правило оранжевого) першу та останню сходинки з метою полегшення орієнтування людей зі зниженим зором та попередження їх травмування. </w:t>
      </w:r>
    </w:p>
    <w:p w:rsidR="006729AB" w:rsidRPr="00CC7F84" w:rsidRDefault="006729AB" w:rsidP="006729AB">
      <w:pPr>
        <w:pStyle w:val="SingleTxtGR"/>
        <w:tabs>
          <w:tab w:val="clear" w:pos="1701"/>
          <w:tab w:val="left" w:pos="700"/>
        </w:tabs>
        <w:spacing w:after="0" w:line="240" w:lineRule="auto"/>
        <w:ind w:left="0" w:right="0" w:firstLine="36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Рекомендації по архітектурній доступності навчальних закладів можна знайти в навчально-методичному посібнику «Архітектурна доступність шкіл» (Київ, 2012 р.).</w:t>
      </w:r>
    </w:p>
    <w:p w:rsidR="006729AB" w:rsidRDefault="006729AB" w:rsidP="006729AB">
      <w:pPr>
        <w:pStyle w:val="11"/>
        <w:ind w:firstLine="360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    </w:t>
      </w:r>
      <w:r w:rsidRPr="00CC7F84">
        <w:rPr>
          <w:szCs w:val="28"/>
          <w:lang w:eastAsia="uk-UA"/>
        </w:rPr>
        <w:t xml:space="preserve">Також, для організації безперешкодного середовища </w:t>
      </w:r>
      <w:r>
        <w:rPr>
          <w:szCs w:val="28"/>
          <w:lang w:eastAsia="uk-UA"/>
        </w:rPr>
        <w:t xml:space="preserve">в навчальних закладах </w:t>
      </w:r>
      <w:r w:rsidRPr="00CC7F84">
        <w:rPr>
          <w:szCs w:val="28"/>
          <w:lang w:eastAsia="uk-UA"/>
        </w:rPr>
        <w:t>слід застосовувати посібник до ДБН В.2.2-4-97,</w:t>
      </w:r>
      <w:r w:rsidRPr="00CC7F84">
        <w:rPr>
          <w:b/>
          <w:bCs/>
          <w:szCs w:val="28"/>
          <w:lang w:eastAsia="uk-UA"/>
        </w:rPr>
        <w:t xml:space="preserve"> </w:t>
      </w:r>
      <w:r w:rsidRPr="00CC7F84">
        <w:rPr>
          <w:szCs w:val="28"/>
          <w:lang w:eastAsia="uk-UA"/>
        </w:rPr>
        <w:t>ДБН В.2.2-4-97 «Рекомендації з архітектурно-планувальних рішень нових типів будинків навчально-виховного та лікувально-оздоровчого призначення для дітей-інвалідів, сиріт і дітей, які залишилися без піклування батьків (будинки дитини, дошкільні дитячі будинки, школи-інтернати зага</w:t>
      </w:r>
      <w:r>
        <w:rPr>
          <w:szCs w:val="28"/>
          <w:lang w:eastAsia="uk-UA"/>
        </w:rPr>
        <w:t>льного та спеціального типів)».</w:t>
      </w:r>
    </w:p>
    <w:p w:rsidR="006729AB" w:rsidRDefault="006729AB" w:rsidP="006729AB">
      <w:pPr>
        <w:pStyle w:val="11"/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В рамках реформування системи освіти, а саме, створення освітніх округів (опорного навчального закладу,його філій), Міністерство листом від 09.06.2016 №1/9-293 «Про доступність дітей з особливими потребами до опорних навчальних закладів» звернулося до обласних,Київської міської державних адміністрацій з проханням сприяти створенню в опорних школах інклюзивного середовища, у тому числі доступності приміщень, для забезпечення права дітей з особливими  освітніми потребами навчатися в загальноосвітніх навчальних закладах.</w:t>
      </w: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p w:rsidR="0067703C" w:rsidRPr="008E0D27" w:rsidRDefault="0067703C" w:rsidP="0067703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E0D27">
        <w:rPr>
          <w:rFonts w:ascii="Times New Roman" w:hAnsi="Times New Roman"/>
          <w:b/>
          <w:iCs/>
          <w:caps/>
          <w:sz w:val="28"/>
          <w:szCs w:val="28"/>
        </w:rPr>
        <w:t>п</w:t>
      </w:r>
      <w:r w:rsidRPr="008E0D27">
        <w:rPr>
          <w:rFonts w:ascii="Times New Roman" w:hAnsi="Times New Roman"/>
          <w:b/>
          <w:iCs/>
          <w:sz w:val="28"/>
          <w:szCs w:val="28"/>
        </w:rPr>
        <w:t>рограма обладнання</w:t>
      </w:r>
    </w:p>
    <w:p w:rsidR="0067703C" w:rsidRDefault="0067703C" w:rsidP="00677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______________________________Чернівецьк</w:t>
      </w:r>
      <w:proofErr w:type="spellEnd"/>
      <w:r>
        <w:rPr>
          <w:rFonts w:ascii="Times New Roman" w:hAnsi="Times New Roman"/>
          <w:b/>
          <w:sz w:val="28"/>
          <w:szCs w:val="28"/>
        </w:rPr>
        <w:t>ої міської ради</w:t>
      </w:r>
    </w:p>
    <w:p w:rsidR="0067703C" w:rsidRDefault="0067703C" w:rsidP="00677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із забезпечення доступу до нього</w:t>
      </w:r>
    </w:p>
    <w:p w:rsidR="0067703C" w:rsidRDefault="0067703C" w:rsidP="006770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осіб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 обмеженими фізичними можливостями</w:t>
      </w:r>
    </w:p>
    <w:p w:rsidR="0067703C" w:rsidRDefault="0067703C" w:rsidP="00677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та інших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маломобільних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груп населення</w:t>
      </w:r>
    </w:p>
    <w:p w:rsidR="0067703C" w:rsidRDefault="0067703C" w:rsidP="0067703C">
      <w:pPr>
        <w:spacing w:after="0" w:line="240" w:lineRule="auto"/>
        <w:rPr>
          <w:rFonts w:ascii="Times New Roman" w:hAnsi="Times New Roman"/>
        </w:rPr>
      </w:pPr>
    </w:p>
    <w:p w:rsidR="0067703C" w:rsidRDefault="0067703C" w:rsidP="0067703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6"/>
        <w:gridCol w:w="1983"/>
        <w:gridCol w:w="2803"/>
      </w:tblGrid>
      <w:tr w:rsidR="0067703C" w:rsidRPr="003941E5" w:rsidTr="002A181A">
        <w:tc>
          <w:tcPr>
            <w:tcW w:w="828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1E5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957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1E5">
              <w:rPr>
                <w:rFonts w:ascii="Times New Roman" w:hAnsi="Times New Roman"/>
                <w:b/>
                <w:bCs/>
                <w:sz w:val="24"/>
                <w:szCs w:val="24"/>
              </w:rPr>
              <w:t>Заходи</w:t>
            </w:r>
          </w:p>
        </w:tc>
        <w:tc>
          <w:tcPr>
            <w:tcW w:w="1983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1E5">
              <w:rPr>
                <w:rFonts w:ascii="Times New Roman" w:hAnsi="Times New Roman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2803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41E5">
              <w:rPr>
                <w:rFonts w:ascii="Times New Roman" w:hAnsi="Times New Roman"/>
                <w:b/>
                <w:bCs/>
                <w:sz w:val="24"/>
                <w:szCs w:val="24"/>
              </w:rPr>
              <w:t>Відмітка про виконання</w:t>
            </w:r>
          </w:p>
        </w:tc>
      </w:tr>
      <w:tr w:rsidR="0067703C" w:rsidRPr="003941E5" w:rsidTr="002A181A">
        <w:tc>
          <w:tcPr>
            <w:tcW w:w="828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7703C" w:rsidRPr="003941E5" w:rsidRDefault="0067703C" w:rsidP="002A18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3C" w:rsidRPr="003941E5" w:rsidTr="002A181A">
        <w:tc>
          <w:tcPr>
            <w:tcW w:w="828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7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7703C" w:rsidRPr="003941E5" w:rsidRDefault="0067703C" w:rsidP="002A18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3C" w:rsidRPr="003941E5" w:rsidTr="002A181A">
        <w:tc>
          <w:tcPr>
            <w:tcW w:w="828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7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7703C" w:rsidRPr="003941E5" w:rsidRDefault="0067703C" w:rsidP="002A18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3C" w:rsidRPr="003941E5" w:rsidTr="002A181A">
        <w:tc>
          <w:tcPr>
            <w:tcW w:w="828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57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7703C" w:rsidRPr="003941E5" w:rsidRDefault="0067703C" w:rsidP="002A18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3C" w:rsidRPr="003941E5" w:rsidTr="002A181A">
        <w:tc>
          <w:tcPr>
            <w:tcW w:w="828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7" w:type="dxa"/>
            <w:shd w:val="clear" w:color="auto" w:fill="auto"/>
          </w:tcPr>
          <w:p w:rsidR="0067703C" w:rsidRPr="003941E5" w:rsidRDefault="0067703C" w:rsidP="002A18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7703C" w:rsidRPr="003941E5" w:rsidRDefault="0067703C" w:rsidP="002A18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3C" w:rsidRPr="003941E5" w:rsidTr="002A181A">
        <w:tc>
          <w:tcPr>
            <w:tcW w:w="828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  <w:shd w:val="clear" w:color="auto" w:fill="auto"/>
          </w:tcPr>
          <w:p w:rsidR="0067703C" w:rsidRPr="003941E5" w:rsidRDefault="0067703C" w:rsidP="002A18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7703C" w:rsidRPr="003941E5" w:rsidRDefault="0067703C" w:rsidP="002A18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3C" w:rsidRPr="003941E5" w:rsidTr="002A181A">
        <w:tc>
          <w:tcPr>
            <w:tcW w:w="828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7" w:type="dxa"/>
            <w:shd w:val="clear" w:color="auto" w:fill="auto"/>
          </w:tcPr>
          <w:p w:rsidR="0067703C" w:rsidRPr="003941E5" w:rsidRDefault="0067703C" w:rsidP="002A18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3C" w:rsidRPr="003941E5" w:rsidTr="002A181A">
        <w:tc>
          <w:tcPr>
            <w:tcW w:w="828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7" w:type="dxa"/>
            <w:shd w:val="clear" w:color="auto" w:fill="auto"/>
          </w:tcPr>
          <w:p w:rsidR="0067703C" w:rsidRPr="003941E5" w:rsidRDefault="0067703C" w:rsidP="002A18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7703C" w:rsidRPr="003941E5" w:rsidRDefault="0067703C" w:rsidP="002A18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3C" w:rsidRPr="003941E5" w:rsidTr="002A181A">
        <w:tc>
          <w:tcPr>
            <w:tcW w:w="828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1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7" w:type="dxa"/>
            <w:shd w:val="clear" w:color="auto" w:fill="auto"/>
          </w:tcPr>
          <w:p w:rsidR="0067703C" w:rsidRPr="003941E5" w:rsidRDefault="0067703C" w:rsidP="002A18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67703C" w:rsidRPr="003941E5" w:rsidRDefault="0067703C" w:rsidP="002A1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auto"/>
          </w:tcPr>
          <w:p w:rsidR="0067703C" w:rsidRPr="003941E5" w:rsidRDefault="0067703C" w:rsidP="002A181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03C" w:rsidRDefault="0067703C" w:rsidP="0067703C"/>
    <w:p w:rsidR="0067703C" w:rsidRDefault="0067703C" w:rsidP="0067703C"/>
    <w:p w:rsidR="0067703C" w:rsidRDefault="0067703C" w:rsidP="0067703C">
      <w:pPr>
        <w:rPr>
          <w:rFonts w:ascii="Times New Roman" w:hAnsi="Times New Roman"/>
          <w:b/>
          <w:bCs/>
          <w:sz w:val="24"/>
          <w:szCs w:val="24"/>
        </w:rPr>
      </w:pPr>
      <w:r w:rsidRPr="00D440D3">
        <w:rPr>
          <w:rFonts w:ascii="Times New Roman" w:hAnsi="Times New Roman"/>
          <w:b/>
          <w:bCs/>
          <w:sz w:val="24"/>
          <w:szCs w:val="24"/>
        </w:rPr>
        <w:tab/>
        <w:t>Директор</w:t>
      </w:r>
    </w:p>
    <w:p w:rsidR="0067703C" w:rsidRDefault="0067703C" w:rsidP="0067703C">
      <w:r w:rsidRPr="00D440D3">
        <w:rPr>
          <w:rFonts w:ascii="Times New Roman" w:hAnsi="Times New Roman"/>
          <w:b/>
          <w:bCs/>
          <w:sz w:val="24"/>
          <w:szCs w:val="24"/>
        </w:rPr>
        <w:tab/>
      </w:r>
      <w:r w:rsidRPr="00D440D3">
        <w:rPr>
          <w:rFonts w:ascii="Times New Roman" w:hAnsi="Times New Roman"/>
          <w:b/>
          <w:bCs/>
          <w:sz w:val="24"/>
          <w:szCs w:val="24"/>
        </w:rPr>
        <w:tab/>
      </w:r>
      <w:r w:rsidRPr="00D440D3">
        <w:rPr>
          <w:rFonts w:ascii="Times New Roman" w:hAnsi="Times New Roman"/>
          <w:b/>
          <w:bCs/>
          <w:sz w:val="24"/>
          <w:szCs w:val="24"/>
        </w:rPr>
        <w:tab/>
      </w:r>
      <w:r w:rsidRPr="00D440D3">
        <w:rPr>
          <w:rFonts w:ascii="Times New Roman" w:hAnsi="Times New Roman"/>
          <w:b/>
          <w:bCs/>
          <w:sz w:val="24"/>
          <w:szCs w:val="24"/>
        </w:rPr>
        <w:tab/>
      </w:r>
      <w:r w:rsidRPr="00D440D3">
        <w:rPr>
          <w:rFonts w:ascii="Times New Roman" w:hAnsi="Times New Roman"/>
          <w:b/>
          <w:bCs/>
          <w:sz w:val="24"/>
          <w:szCs w:val="24"/>
        </w:rPr>
        <w:tab/>
      </w:r>
    </w:p>
    <w:p w:rsidR="0067703C" w:rsidRPr="001B7347" w:rsidRDefault="0067703C" w:rsidP="0067703C">
      <w:pPr>
        <w:rPr>
          <w:rFonts w:ascii="Times New Roman" w:hAnsi="Times New Roman"/>
          <w:b/>
          <w:bCs/>
          <w:sz w:val="28"/>
          <w:szCs w:val="28"/>
        </w:rPr>
      </w:pPr>
    </w:p>
    <w:p w:rsidR="0067703C" w:rsidRDefault="0067703C" w:rsidP="006729AB">
      <w:pPr>
        <w:pStyle w:val="11"/>
        <w:ind w:firstLine="708"/>
        <w:jc w:val="both"/>
        <w:rPr>
          <w:szCs w:val="28"/>
          <w:lang w:eastAsia="uk-UA"/>
        </w:rPr>
      </w:pPr>
    </w:p>
    <w:sectPr w:rsidR="0067703C" w:rsidSect="006729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2A2"/>
    <w:multiLevelType w:val="hybridMultilevel"/>
    <w:tmpl w:val="8E7E238C"/>
    <w:lvl w:ilvl="0" w:tplc="9AF2B5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D7A09"/>
    <w:multiLevelType w:val="hybridMultilevel"/>
    <w:tmpl w:val="8A02EDF6"/>
    <w:lvl w:ilvl="0" w:tplc="30BC0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A2B35"/>
    <w:multiLevelType w:val="multilevel"/>
    <w:tmpl w:val="AD96CE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05"/>
    <w:rsid w:val="00011F38"/>
    <w:rsid w:val="0015768A"/>
    <w:rsid w:val="001D56A0"/>
    <w:rsid w:val="002530EE"/>
    <w:rsid w:val="002D04D2"/>
    <w:rsid w:val="004D0609"/>
    <w:rsid w:val="005D0750"/>
    <w:rsid w:val="005D7028"/>
    <w:rsid w:val="00631065"/>
    <w:rsid w:val="006729AB"/>
    <w:rsid w:val="0067703C"/>
    <w:rsid w:val="00820984"/>
    <w:rsid w:val="00AF7F05"/>
    <w:rsid w:val="00C74BC8"/>
    <w:rsid w:val="00F378EE"/>
    <w:rsid w:val="00F5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AB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F554AB"/>
    <w:pPr>
      <w:keepNext/>
      <w:spacing w:after="0" w:line="240" w:lineRule="auto"/>
      <w:ind w:left="180"/>
      <w:jc w:val="center"/>
      <w:outlineLvl w:val="0"/>
    </w:pPr>
    <w:rPr>
      <w:rFonts w:ascii="Times New Roman" w:hAnsi="Times New Roman"/>
      <w:sz w:val="28"/>
      <w:szCs w:val="20"/>
      <w:lang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554AB"/>
    <w:pPr>
      <w:keepNext/>
      <w:spacing w:after="0" w:line="240" w:lineRule="auto"/>
      <w:jc w:val="center"/>
      <w:outlineLvl w:val="4"/>
    </w:pPr>
    <w:rPr>
      <w:rFonts w:ascii="NTTimes/Cyrillic" w:hAnsi="NTTimes/Cyrillic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4AB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semiHidden/>
    <w:rsid w:val="00F554AB"/>
    <w:rPr>
      <w:rFonts w:ascii="NTTimes/Cyrillic" w:eastAsia="Times New Roman" w:hAnsi="NTTimes/Cyrillic" w:cs="Times New Roman"/>
      <w:sz w:val="28"/>
      <w:szCs w:val="20"/>
      <w:lang w:val="uk-UA" w:eastAsia="x-none"/>
    </w:rPr>
  </w:style>
  <w:style w:type="character" w:styleId="a3">
    <w:name w:val="Hyperlink"/>
    <w:uiPriority w:val="99"/>
    <w:unhideWhenUsed/>
    <w:rsid w:val="00F554AB"/>
    <w:rPr>
      <w:color w:val="0000FF"/>
      <w:u w:val="single"/>
    </w:rPr>
  </w:style>
  <w:style w:type="paragraph" w:customStyle="1" w:styleId="a4">
    <w:name w:val="Нормальний текст"/>
    <w:basedOn w:val="a"/>
    <w:rsid w:val="00F554AB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4A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1576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6729AB"/>
    <w:pPr>
      <w:spacing w:after="0" w:line="240" w:lineRule="auto"/>
    </w:pPr>
    <w:rPr>
      <w:rFonts w:ascii="Times New Roman" w:eastAsia="Times New Roman" w:hAnsi="Times New Roman" w:cs="Times New Roman"/>
      <w:sz w:val="28"/>
      <w:lang w:val="uk-UA"/>
    </w:rPr>
  </w:style>
  <w:style w:type="paragraph" w:customStyle="1" w:styleId="SingleTxtGR">
    <w:name w:val="_ Single Txt_GR"/>
    <w:basedOn w:val="a"/>
    <w:rsid w:val="006729A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ascii="Times New Roman" w:eastAsia="Calibri" w:hAnsi="Times New Roman"/>
      <w:spacing w:val="4"/>
      <w:w w:val="103"/>
      <w:kern w:val="14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AB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F554AB"/>
    <w:pPr>
      <w:keepNext/>
      <w:spacing w:after="0" w:line="240" w:lineRule="auto"/>
      <w:ind w:left="180"/>
      <w:jc w:val="center"/>
      <w:outlineLvl w:val="0"/>
    </w:pPr>
    <w:rPr>
      <w:rFonts w:ascii="Times New Roman" w:hAnsi="Times New Roman"/>
      <w:sz w:val="28"/>
      <w:szCs w:val="20"/>
      <w:lang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554AB"/>
    <w:pPr>
      <w:keepNext/>
      <w:spacing w:after="0" w:line="240" w:lineRule="auto"/>
      <w:jc w:val="center"/>
      <w:outlineLvl w:val="4"/>
    </w:pPr>
    <w:rPr>
      <w:rFonts w:ascii="NTTimes/Cyrillic" w:hAnsi="NTTimes/Cyrillic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4AB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semiHidden/>
    <w:rsid w:val="00F554AB"/>
    <w:rPr>
      <w:rFonts w:ascii="NTTimes/Cyrillic" w:eastAsia="Times New Roman" w:hAnsi="NTTimes/Cyrillic" w:cs="Times New Roman"/>
      <w:sz w:val="28"/>
      <w:szCs w:val="20"/>
      <w:lang w:val="uk-UA" w:eastAsia="x-none"/>
    </w:rPr>
  </w:style>
  <w:style w:type="character" w:styleId="a3">
    <w:name w:val="Hyperlink"/>
    <w:uiPriority w:val="99"/>
    <w:unhideWhenUsed/>
    <w:rsid w:val="00F554AB"/>
    <w:rPr>
      <w:color w:val="0000FF"/>
      <w:u w:val="single"/>
    </w:rPr>
  </w:style>
  <w:style w:type="paragraph" w:customStyle="1" w:styleId="a4">
    <w:name w:val="Нормальний текст"/>
    <w:basedOn w:val="a"/>
    <w:rsid w:val="00F554AB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4A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1576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6729AB"/>
    <w:pPr>
      <w:spacing w:after="0" w:line="240" w:lineRule="auto"/>
    </w:pPr>
    <w:rPr>
      <w:rFonts w:ascii="Times New Roman" w:eastAsia="Times New Roman" w:hAnsi="Times New Roman" w:cs="Times New Roman"/>
      <w:sz w:val="28"/>
      <w:lang w:val="uk-UA"/>
    </w:rPr>
  </w:style>
  <w:style w:type="paragraph" w:customStyle="1" w:styleId="SingleTxtGR">
    <w:name w:val="_ Single Txt_GR"/>
    <w:basedOn w:val="a"/>
    <w:rsid w:val="006729A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ascii="Times New Roman" w:eastAsia="Calibri" w:hAnsi="Times New Roman"/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ynok.gscv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2017-11-08T15:11:00Z</cp:lastPrinted>
  <dcterms:created xsi:type="dcterms:W3CDTF">2017-11-08T12:14:00Z</dcterms:created>
  <dcterms:modified xsi:type="dcterms:W3CDTF">2017-11-08T16:21:00Z</dcterms:modified>
</cp:coreProperties>
</file>